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751"/>
      </w:tblGrid>
      <w:tr>
        <w:tc>
          <w:tcPr>
            <w:tcW w:type="dxa" w:w="9866"/>
            <w:shd w:fill="07131F"/>
            <w:tcMar>
              <w:top w:w="420" w:type="dxa"/>
              <w:start w:w="420" w:type="dxa"/>
              <w:bottom w:w="420" w:type="dxa"/>
              <w:end w:w="420" w:type="dxa"/>
            </w:tcMar>
          </w:tcPr>
          <w:p>
            <w:pPr>
              <w:pStyle w:val="A3OKicker"/>
            </w:pPr>
            <w:r>
              <w:t>A³O  /  UNIVERSAL TRUSTED FRAMEWORK</w:t>
            </w:r>
          </w:p>
          <w:p>
            <w:pPr>
              <w:spacing w:before="360" w:after="160"/>
            </w:pPr>
            <w:r>
              <w:rPr>
                <w:rFonts w:ascii="Liberation Sans" w:hAnsi="Liberation Sans"/>
                <w:b/>
                <w:color w:val="F4F7FA"/>
                <w:sz w:val="58"/>
              </w:rPr>
              <w:t>A³O API Reference &amp; Integration Guide</w:t>
            </w:r>
          </w:p>
          <w:p>
            <w:pPr>
              <w:spacing w:after="360"/>
            </w:pPr>
            <w:r>
              <w:rPr>
                <w:rFonts w:ascii="Liberation Sans" w:hAnsi="Liberation Sans"/>
                <w:color w:val="A9BBC8"/>
                <w:sz w:val="26"/>
              </w:rPr>
              <w:t>Universal node, fleet, swarm and industry integration baseline</w:t>
            </w:r>
          </w:p>
          <w:p>
            <w:r>
              <w:rPr>
                <w:rFonts w:ascii="Liberation Mono" w:hAnsi="Liberation Mono"/>
                <w:b/>
                <w:color w:val="39E6A1"/>
                <w:sz w:val="16"/>
              </w:rPr>
              <w:t>R1.0 CANDIDATE</w:t>
            </w:r>
          </w:p>
          <w:p>
            <w:pPr>
              <w:spacing w:after="40"/>
            </w:pPr>
            <w:r>
              <w:rPr>
                <w:rFonts w:ascii="Liberation Mono" w:hAnsi="Liberation Mono"/>
                <w:color w:val="BFD0DB"/>
                <w:sz w:val="15"/>
              </w:rPr>
              <w:t>OPENAPI / ASYNCAPI / SCHEMA</w:t>
            </w:r>
          </w:p>
          <w:p>
            <w:pPr>
              <w:spacing w:after="40"/>
            </w:pPr>
            <w:r>
              <w:rPr>
                <w:rFonts w:ascii="Liberation Mono" w:hAnsi="Liberation Mono"/>
                <w:color w:val="BFD0DB"/>
                <w:sz w:val="15"/>
              </w:rPr>
              <w:t>EDGE &amp; P2P PROFILES</w:t>
            </w:r>
          </w:p>
          <w:p>
            <w:pPr>
              <w:spacing w:after="40"/>
            </w:pPr>
            <w:r>
              <w:rPr>
                <w:rFonts w:ascii="Liberation Mono" w:hAnsi="Liberation Mono"/>
                <w:color w:val="BFD0DB"/>
                <w:sz w:val="15"/>
              </w:rPr>
              <w:t>CONFORMANCE TEST KIT</w:t>
            </w:r>
          </w:p>
        </w:tc>
      </w:tr>
    </w:tbl>
    <w:p/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2381"/>
        <w:gridCol w:w="7370"/>
      </w:tblGrid>
      <w:tr>
        <w:tc>
          <w:tcPr>
            <w:tcW w:type="dxa" w:w="4933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  <w:shd w:fill="F4F8FA"/>
          </w:tcPr>
          <w:p>
            <w:pPr>
              <w:spacing w:after="0"/>
            </w:pPr>
            <w:r/>
            <w:r>
              <w:rPr>
                <w:rFonts w:ascii="Liberation Mono" w:hAnsi="Liberation Mono"/>
                <w:b/>
                <w:color w:val="526374"/>
                <w:sz w:val="15"/>
              </w:rPr>
              <w:t>DOCUMENT ID</w:t>
            </w:r>
          </w:p>
        </w:tc>
        <w:tc>
          <w:tcPr>
            <w:tcW w:type="dxa" w:w="4933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pPr>
              <w:spacing w:after="0"/>
            </w:pPr>
            <w:r/>
            <w:r>
              <w:rPr>
                <w:rFonts w:ascii="Liberation Mono" w:hAnsi="Liberation Mono"/>
                <w:b w:val="0"/>
                <w:color w:val="0C1D2C"/>
                <w:sz w:val="17"/>
              </w:rPr>
              <w:t>A3O-API-INTEGRATION-R1.0-RU</w:t>
            </w:r>
          </w:p>
        </w:tc>
      </w:tr>
      <w:tr>
        <w:tc>
          <w:tcPr>
            <w:tcW w:type="dxa" w:w="4933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  <w:shd w:fill="F4F8FA"/>
          </w:tcPr>
          <w:p>
            <w:pPr>
              <w:spacing w:after="0"/>
            </w:pPr>
            <w:r/>
            <w:r>
              <w:rPr>
                <w:rFonts w:ascii="Liberation Mono" w:hAnsi="Liberation Mono"/>
                <w:b/>
                <w:color w:val="526374"/>
                <w:sz w:val="15"/>
              </w:rPr>
              <w:t>DATE</w:t>
            </w:r>
          </w:p>
        </w:tc>
        <w:tc>
          <w:tcPr>
            <w:tcW w:type="dxa" w:w="4933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pPr>
              <w:spacing w:after="0"/>
            </w:pPr>
            <w:r/>
            <w:r>
              <w:rPr>
                <w:rFonts w:ascii="Liberation Mono" w:hAnsi="Liberation Mono"/>
                <w:b w:val="0"/>
                <w:color w:val="0C1D2C"/>
                <w:sz w:val="17"/>
              </w:rPr>
              <w:t>17 JULY 2026</w:t>
            </w:r>
          </w:p>
        </w:tc>
      </w:tr>
      <w:tr>
        <w:tc>
          <w:tcPr>
            <w:tcW w:type="dxa" w:w="4933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  <w:shd w:fill="F4F8FA"/>
          </w:tcPr>
          <w:p>
            <w:pPr>
              <w:spacing w:after="0"/>
            </w:pPr>
            <w:r/>
            <w:r>
              <w:rPr>
                <w:rFonts w:ascii="Liberation Mono" w:hAnsi="Liberation Mono"/>
                <w:b/>
                <w:color w:val="526374"/>
                <w:sz w:val="15"/>
              </w:rPr>
              <w:t>STATUS</w:t>
            </w:r>
          </w:p>
        </w:tc>
        <w:tc>
          <w:tcPr>
            <w:tcW w:type="dxa" w:w="4933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pPr>
              <w:spacing w:after="0"/>
            </w:pPr>
            <w:r/>
            <w:r>
              <w:rPr>
                <w:rFonts w:ascii="Liberation Mono" w:hAnsi="Liberation Mono"/>
                <w:b/>
                <w:color w:val="0C1D2C"/>
                <w:sz w:val="17"/>
              </w:rPr>
              <w:t>CONFIDENTIAL WORKING DRAFT</w:t>
            </w:r>
          </w:p>
        </w:tc>
      </w:tr>
    </w:tbl>
    <w:p>
      <w:r>
        <w:br w:type="page"/>
      </w:r>
    </w:p>
    <w:p>
      <w:pPr>
        <w:pStyle w:val="Heading1"/>
      </w:pPr>
      <w:r>
        <w:t>Содержание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624"/>
        <w:gridCol w:w="8957"/>
      </w:tblGrid>
      <w:tr>
        <w:tc>
          <w:tcPr>
            <w:tcW w:type="dxa" w:w="624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pPr>
              <w:spacing w:after="0"/>
            </w:pPr>
            <w:r/>
            <w:r>
              <w:rPr>
                <w:rFonts w:ascii="Liberation Mono" w:hAnsi="Liberation Mono"/>
                <w:b/>
                <w:color w:val="43C7F4"/>
                <w:sz w:val="16"/>
              </w:rPr>
              <w:t>1</w:t>
            </w:r>
          </w:p>
        </w:tc>
        <w:tc>
          <w:tcPr>
            <w:tcW w:type="dxa" w:w="8957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0C1D2C"/>
                <w:sz w:val="18"/>
              </w:rPr>
              <w:t>Scope and profiles</w:t>
            </w:r>
          </w:p>
        </w:tc>
      </w:tr>
      <w:tr>
        <w:tc>
          <w:tcPr>
            <w:tcW w:type="dxa" w:w="624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pPr>
              <w:spacing w:after="0"/>
            </w:pPr>
            <w:r/>
            <w:r>
              <w:rPr>
                <w:rFonts w:ascii="Liberation Mono" w:hAnsi="Liberation Mono"/>
                <w:b/>
                <w:color w:val="43C7F4"/>
                <w:sz w:val="16"/>
              </w:rPr>
              <w:t>2</w:t>
            </w:r>
          </w:p>
        </w:tc>
        <w:tc>
          <w:tcPr>
            <w:tcW w:type="dxa" w:w="8957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0C1D2C"/>
                <w:sz w:val="18"/>
              </w:rPr>
              <w:t>Architecture and trust boundaries</w:t>
            </w:r>
          </w:p>
        </w:tc>
      </w:tr>
      <w:tr>
        <w:tc>
          <w:tcPr>
            <w:tcW w:type="dxa" w:w="624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pPr>
              <w:spacing w:after="0"/>
            </w:pPr>
            <w:r/>
            <w:r>
              <w:rPr>
                <w:rFonts w:ascii="Liberation Mono" w:hAnsi="Liberation Mono"/>
                <w:b/>
                <w:color w:val="43C7F4"/>
                <w:sz w:val="16"/>
              </w:rPr>
              <w:t>3</w:t>
            </w:r>
          </w:p>
        </w:tc>
        <w:tc>
          <w:tcPr>
            <w:tcW w:type="dxa" w:w="8957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0C1D2C"/>
                <w:sz w:val="18"/>
              </w:rPr>
              <w:t>Identity and enrollment</w:t>
            </w:r>
          </w:p>
        </w:tc>
      </w:tr>
      <w:tr>
        <w:tc>
          <w:tcPr>
            <w:tcW w:type="dxa" w:w="624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pPr>
              <w:spacing w:after="0"/>
            </w:pPr>
            <w:r/>
            <w:r>
              <w:rPr>
                <w:rFonts w:ascii="Liberation Mono" w:hAnsi="Liberation Mono"/>
                <w:b/>
                <w:color w:val="43C7F4"/>
                <w:sz w:val="16"/>
              </w:rPr>
              <w:t>4</w:t>
            </w:r>
          </w:p>
        </w:tc>
        <w:tc>
          <w:tcPr>
            <w:tcW w:type="dxa" w:w="8957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0C1D2C"/>
                <w:sz w:val="18"/>
              </w:rPr>
              <w:t>Canonical IDs and versioning</w:t>
            </w:r>
          </w:p>
        </w:tc>
      </w:tr>
      <w:tr>
        <w:tc>
          <w:tcPr>
            <w:tcW w:type="dxa" w:w="624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pPr>
              <w:spacing w:after="0"/>
            </w:pPr>
            <w:r/>
            <w:r>
              <w:rPr>
                <w:rFonts w:ascii="Liberation Mono" w:hAnsi="Liberation Mono"/>
                <w:b/>
                <w:color w:val="43C7F4"/>
                <w:sz w:val="16"/>
              </w:rPr>
              <w:t>5</w:t>
            </w:r>
          </w:p>
        </w:tc>
        <w:tc>
          <w:tcPr>
            <w:tcW w:type="dxa" w:w="8957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0C1D2C"/>
                <w:sz w:val="18"/>
              </w:rPr>
              <w:t>Transport profiles</w:t>
            </w:r>
          </w:p>
        </w:tc>
      </w:tr>
      <w:tr>
        <w:tc>
          <w:tcPr>
            <w:tcW w:type="dxa" w:w="624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pPr>
              <w:spacing w:after="0"/>
            </w:pPr>
            <w:r/>
            <w:r>
              <w:rPr>
                <w:rFonts w:ascii="Liberation Mono" w:hAnsi="Liberation Mono"/>
                <w:b/>
                <w:color w:val="43C7F4"/>
                <w:sz w:val="16"/>
              </w:rPr>
              <w:t>6</w:t>
            </w:r>
          </w:p>
        </w:tc>
        <w:tc>
          <w:tcPr>
            <w:tcW w:type="dxa" w:w="8957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0C1D2C"/>
                <w:sz w:val="18"/>
              </w:rPr>
              <w:t>Universal telemetry</w:t>
            </w:r>
          </w:p>
        </w:tc>
      </w:tr>
      <w:tr>
        <w:tc>
          <w:tcPr>
            <w:tcW w:type="dxa" w:w="624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pPr>
              <w:spacing w:after="0"/>
            </w:pPr>
            <w:r/>
            <w:r>
              <w:rPr>
                <w:rFonts w:ascii="Liberation Mono" w:hAnsi="Liberation Mono"/>
                <w:b/>
                <w:color w:val="43C7F4"/>
                <w:sz w:val="16"/>
              </w:rPr>
              <w:t>7</w:t>
            </w:r>
          </w:p>
        </w:tc>
        <w:tc>
          <w:tcPr>
            <w:tcW w:type="dxa" w:w="8957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0C1D2C"/>
                <w:sz w:val="18"/>
              </w:rPr>
              <w:t>State and world model</w:t>
            </w:r>
          </w:p>
        </w:tc>
      </w:tr>
      <w:tr>
        <w:tc>
          <w:tcPr>
            <w:tcW w:type="dxa" w:w="624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pPr>
              <w:spacing w:after="0"/>
            </w:pPr>
            <w:r/>
            <w:r>
              <w:rPr>
                <w:rFonts w:ascii="Liberation Mono" w:hAnsi="Liberation Mono"/>
                <w:b/>
                <w:color w:val="43C7F4"/>
                <w:sz w:val="16"/>
              </w:rPr>
              <w:t>8</w:t>
            </w:r>
          </w:p>
        </w:tc>
        <w:tc>
          <w:tcPr>
            <w:tcW w:type="dxa" w:w="8957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0C1D2C"/>
                <w:sz w:val="18"/>
              </w:rPr>
              <w:t>Peer discovery and mesh</w:t>
            </w:r>
          </w:p>
        </w:tc>
      </w:tr>
      <w:tr>
        <w:tc>
          <w:tcPr>
            <w:tcW w:type="dxa" w:w="624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pPr>
              <w:spacing w:after="0"/>
            </w:pPr>
            <w:r/>
            <w:r>
              <w:rPr>
                <w:rFonts w:ascii="Liberation Mono" w:hAnsi="Liberation Mono"/>
                <w:b/>
                <w:color w:val="43C7F4"/>
                <w:sz w:val="16"/>
              </w:rPr>
              <w:t>9</w:t>
            </w:r>
          </w:p>
        </w:tc>
        <w:tc>
          <w:tcPr>
            <w:tcW w:type="dxa" w:w="8957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0C1D2C"/>
                <w:sz w:val="18"/>
              </w:rPr>
              <w:t>Capability exchange</w:t>
            </w:r>
          </w:p>
        </w:tc>
      </w:tr>
      <w:tr>
        <w:tc>
          <w:tcPr>
            <w:tcW w:type="dxa" w:w="624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pPr>
              <w:spacing w:after="0"/>
            </w:pPr>
            <w:r/>
            <w:r>
              <w:rPr>
                <w:rFonts w:ascii="Liberation Mono" w:hAnsi="Liberation Mono"/>
                <w:b/>
                <w:color w:val="43C7F4"/>
                <w:sz w:val="16"/>
              </w:rPr>
              <w:t>10</w:t>
            </w:r>
          </w:p>
        </w:tc>
        <w:tc>
          <w:tcPr>
            <w:tcW w:type="dxa" w:w="8957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0C1D2C"/>
                <w:sz w:val="18"/>
              </w:rPr>
              <w:t>Mission and task APIs</w:t>
            </w:r>
          </w:p>
        </w:tc>
      </w:tr>
      <w:tr>
        <w:tc>
          <w:tcPr>
            <w:tcW w:type="dxa" w:w="624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pPr>
              <w:spacing w:after="0"/>
            </w:pPr>
            <w:r/>
            <w:r>
              <w:rPr>
                <w:rFonts w:ascii="Liberation Mono" w:hAnsi="Liberation Mono"/>
                <w:b/>
                <w:color w:val="43C7F4"/>
                <w:sz w:val="16"/>
              </w:rPr>
              <w:t>11</w:t>
            </w:r>
          </w:p>
        </w:tc>
        <w:tc>
          <w:tcPr>
            <w:tcW w:type="dxa" w:w="8957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0C1D2C"/>
                <w:sz w:val="18"/>
              </w:rPr>
              <w:t>Policy/delegation</w:t>
            </w:r>
          </w:p>
        </w:tc>
      </w:tr>
      <w:tr>
        <w:tc>
          <w:tcPr>
            <w:tcW w:type="dxa" w:w="624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pPr>
              <w:spacing w:after="0"/>
            </w:pPr>
            <w:r/>
            <w:r>
              <w:rPr>
                <w:rFonts w:ascii="Liberation Mono" w:hAnsi="Liberation Mono"/>
                <w:b/>
                <w:color w:val="43C7F4"/>
                <w:sz w:val="16"/>
              </w:rPr>
              <w:t>12</w:t>
            </w:r>
          </w:p>
        </w:tc>
        <w:tc>
          <w:tcPr>
            <w:tcW w:type="dxa" w:w="8957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0C1D2C"/>
                <w:sz w:val="18"/>
              </w:rPr>
              <w:t>Action and feedback</w:t>
            </w:r>
          </w:p>
        </w:tc>
      </w:tr>
      <w:tr>
        <w:tc>
          <w:tcPr>
            <w:tcW w:type="dxa" w:w="624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pPr>
              <w:spacing w:after="0"/>
            </w:pPr>
            <w:r/>
            <w:r>
              <w:rPr>
                <w:rFonts w:ascii="Liberation Mono" w:hAnsi="Liberation Mono"/>
                <w:b/>
                <w:color w:val="43C7F4"/>
                <w:sz w:val="16"/>
              </w:rPr>
              <w:t>13</w:t>
            </w:r>
          </w:p>
        </w:tc>
        <w:tc>
          <w:tcPr>
            <w:tcW w:type="dxa" w:w="8957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0C1D2C"/>
                <w:sz w:val="18"/>
              </w:rPr>
              <w:t>Evidence and assurance</w:t>
            </w:r>
          </w:p>
        </w:tc>
      </w:tr>
      <w:tr>
        <w:tc>
          <w:tcPr>
            <w:tcW w:type="dxa" w:w="624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pPr>
              <w:spacing w:after="0"/>
            </w:pPr>
            <w:r/>
            <w:r>
              <w:rPr>
                <w:rFonts w:ascii="Liberation Mono" w:hAnsi="Liberation Mono"/>
                <w:b/>
                <w:color w:val="43C7F4"/>
                <w:sz w:val="16"/>
              </w:rPr>
              <w:t>14</w:t>
            </w:r>
          </w:p>
        </w:tc>
        <w:tc>
          <w:tcPr>
            <w:tcW w:type="dxa" w:w="8957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0C1D2C"/>
                <w:sz w:val="18"/>
              </w:rPr>
              <w:t>Twin/simulation</w:t>
            </w:r>
          </w:p>
        </w:tc>
      </w:tr>
      <w:tr>
        <w:tc>
          <w:tcPr>
            <w:tcW w:type="dxa" w:w="624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pPr>
              <w:spacing w:after="0"/>
            </w:pPr>
            <w:r/>
            <w:r>
              <w:rPr>
                <w:rFonts w:ascii="Liberation Mono" w:hAnsi="Liberation Mono"/>
                <w:b/>
                <w:color w:val="43C7F4"/>
                <w:sz w:val="16"/>
              </w:rPr>
              <w:t>15</w:t>
            </w:r>
          </w:p>
        </w:tc>
        <w:tc>
          <w:tcPr>
            <w:tcW w:type="dxa" w:w="8957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0C1D2C"/>
                <w:sz w:val="18"/>
              </w:rPr>
              <w:t>Health/observability</w:t>
            </w:r>
          </w:p>
        </w:tc>
      </w:tr>
      <w:tr>
        <w:tc>
          <w:tcPr>
            <w:tcW w:type="dxa" w:w="624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pPr>
              <w:spacing w:after="0"/>
            </w:pPr>
            <w:r/>
            <w:r>
              <w:rPr>
                <w:rFonts w:ascii="Liberation Mono" w:hAnsi="Liberation Mono"/>
                <w:b/>
                <w:color w:val="43C7F4"/>
                <w:sz w:val="16"/>
              </w:rPr>
              <w:t>16</w:t>
            </w:r>
          </w:p>
        </w:tc>
        <w:tc>
          <w:tcPr>
            <w:tcW w:type="dxa" w:w="8957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0C1D2C"/>
                <w:sz w:val="18"/>
              </w:rPr>
              <w:t>Offline/partition/reconciliation</w:t>
            </w:r>
          </w:p>
        </w:tc>
      </w:tr>
      <w:tr>
        <w:tc>
          <w:tcPr>
            <w:tcW w:type="dxa" w:w="624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pPr>
              <w:spacing w:after="0"/>
            </w:pPr>
            <w:r/>
            <w:r>
              <w:rPr>
                <w:rFonts w:ascii="Liberation Mono" w:hAnsi="Liberation Mono"/>
                <w:b/>
                <w:color w:val="43C7F4"/>
                <w:sz w:val="16"/>
              </w:rPr>
              <w:t>17</w:t>
            </w:r>
          </w:p>
        </w:tc>
        <w:tc>
          <w:tcPr>
            <w:tcW w:type="dxa" w:w="8957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0C1D2C"/>
                <w:sz w:val="18"/>
              </w:rPr>
              <w:t>Industry profile SDK</w:t>
            </w:r>
          </w:p>
        </w:tc>
      </w:tr>
      <w:tr>
        <w:tc>
          <w:tcPr>
            <w:tcW w:type="dxa" w:w="624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pPr>
              <w:spacing w:after="0"/>
            </w:pPr>
            <w:r/>
            <w:r>
              <w:rPr>
                <w:rFonts w:ascii="Liberation Mono" w:hAnsi="Liberation Mono"/>
                <w:b/>
                <w:color w:val="43C7F4"/>
                <w:sz w:val="16"/>
              </w:rPr>
              <w:t>18</w:t>
            </w:r>
          </w:p>
        </w:tc>
        <w:tc>
          <w:tcPr>
            <w:tcW w:type="dxa" w:w="8957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0C1D2C"/>
                <w:sz w:val="18"/>
              </w:rPr>
              <w:t>Errors and resilience</w:t>
            </w:r>
          </w:p>
        </w:tc>
      </w:tr>
      <w:tr>
        <w:tc>
          <w:tcPr>
            <w:tcW w:type="dxa" w:w="624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pPr>
              <w:spacing w:after="0"/>
            </w:pPr>
            <w:r/>
            <w:r>
              <w:rPr>
                <w:rFonts w:ascii="Liberation Mono" w:hAnsi="Liberation Mono"/>
                <w:b/>
                <w:color w:val="43C7F4"/>
                <w:sz w:val="16"/>
              </w:rPr>
              <w:t>19</w:t>
            </w:r>
          </w:p>
        </w:tc>
        <w:tc>
          <w:tcPr>
            <w:tcW w:type="dxa" w:w="8957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0C1D2C"/>
                <w:sz w:val="18"/>
              </w:rPr>
              <w:t>Security requirements</w:t>
            </w:r>
          </w:p>
        </w:tc>
      </w:tr>
      <w:tr>
        <w:tc>
          <w:tcPr>
            <w:tcW w:type="dxa" w:w="624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pPr>
              <w:spacing w:after="0"/>
            </w:pPr>
            <w:r/>
            <w:r>
              <w:rPr>
                <w:rFonts w:ascii="Liberation Mono" w:hAnsi="Liberation Mono"/>
                <w:b/>
                <w:color w:val="43C7F4"/>
                <w:sz w:val="16"/>
              </w:rPr>
              <w:t>20</w:t>
            </w:r>
          </w:p>
        </w:tc>
        <w:tc>
          <w:tcPr>
            <w:tcW w:type="dxa" w:w="8957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0C1D2C"/>
                <w:sz w:val="18"/>
              </w:rPr>
              <w:t>Conformance test kit</w:t>
            </w:r>
          </w:p>
        </w:tc>
      </w:tr>
      <w:tr>
        <w:tc>
          <w:tcPr>
            <w:tcW w:type="dxa" w:w="624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pPr>
              <w:spacing w:after="0"/>
            </w:pPr>
            <w:r/>
            <w:r>
              <w:rPr>
                <w:rFonts w:ascii="Liberation Mono" w:hAnsi="Liberation Mono"/>
                <w:b/>
                <w:color w:val="43C7F4"/>
                <w:sz w:val="16"/>
              </w:rPr>
              <w:t>21</w:t>
            </w:r>
          </w:p>
        </w:tc>
        <w:tc>
          <w:tcPr>
            <w:tcW w:type="dxa" w:w="8957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0C1D2C"/>
                <w:sz w:val="18"/>
              </w:rPr>
              <w:t>Worked integrations</w:t>
            </w:r>
          </w:p>
        </w:tc>
      </w:tr>
    </w:tbl>
    <w:p>
      <w:r>
        <w:br w:type="page"/>
      </w:r>
    </w:p>
    <w:p>
      <w:pPr>
        <w:pStyle w:val="Heading1"/>
      </w:pPr>
      <w:r>
        <w:t>1. Scope and supported profiles</w:t>
      </w:r>
    </w:p>
    <w:p>
      <w:pPr>
        <w:keepLines w:val="0"/>
      </w:pPr>
      <w:r>
        <w:rPr>
          <w:i w:val="0"/>
        </w:rPr>
        <w:t>Guide предназначен для robot/sensor OEMs, системных интеграторов, разработчиков autonomy stacks, industrial/enterprise platforms и A³O industry profiles. Исполняемые schemas, examples and test vectors имеют приоритет над описательной прозой.</w:t>
      </w:r>
    </w:p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2835"/>
        <w:gridCol w:w="6576"/>
      </w:tblGrid>
      <w:tr>
        <w:trPr>
          <w:tblHeader w:val="true"/>
        </w:trPr>
        <w:tc>
          <w:tcPr>
            <w:tcW w:type="dxa" w:w="4933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  <w:shd w:fill="0C1D2C"/>
          </w:tcPr>
          <w:p>
            <w:pPr>
              <w:spacing w:after="0"/>
            </w:pPr>
            <w:r/>
            <w:r>
              <w:rPr>
                <w:rFonts w:ascii="Liberation Mono" w:hAnsi="Liberation Mono"/>
                <w:b/>
                <w:color w:val="F4F7FA"/>
                <w:sz w:val="14"/>
              </w:rPr>
              <w:t>Integration role</w:t>
            </w:r>
          </w:p>
        </w:tc>
        <w:tc>
          <w:tcPr>
            <w:tcW w:type="dxa" w:w="4933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  <w:shd w:fill="0C1D2C"/>
          </w:tcPr>
          <w:p>
            <w:pPr>
              <w:spacing w:after="0"/>
            </w:pPr>
            <w:r/>
            <w:r>
              <w:rPr>
                <w:rFonts w:ascii="Liberation Mono" w:hAnsi="Liberation Mono"/>
                <w:b/>
                <w:color w:val="F4F7FA"/>
                <w:sz w:val="14"/>
              </w:rPr>
              <w:t>Typical responsibility</w:t>
            </w:r>
          </w:p>
        </w:tc>
      </w:tr>
      <w:tr>
        <w:tc>
          <w:tcPr>
            <w:tcW w:type="dxa" w:w="2835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5"/>
              </w:rPr>
              <w:t>Node Provider</w:t>
            </w:r>
          </w:p>
        </w:tc>
        <w:tc>
          <w:tcPr>
            <w:tcW w:type="dxa" w:w="6576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5"/>
              </w:rPr>
              <w:t>Robot, vehicle, sensor, actuator or software agent.</w:t>
            </w:r>
          </w:p>
        </w:tc>
      </w:tr>
      <w:tr>
        <w:tc>
          <w:tcPr>
            <w:tcW w:type="dxa" w:w="2835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  <w:shd w:fill="F4F8FA"/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5"/>
              </w:rPr>
              <w:t>Adapter Provider</w:t>
            </w:r>
          </w:p>
        </w:tc>
        <w:tc>
          <w:tcPr>
            <w:tcW w:type="dxa" w:w="6576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  <w:shd w:fill="F4F8FA"/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5"/>
              </w:rPr>
              <w:t>Maps vendor protocol/state to A³O contracts.</w:t>
            </w:r>
          </w:p>
        </w:tc>
      </w:tr>
      <w:tr>
        <w:tc>
          <w:tcPr>
            <w:tcW w:type="dxa" w:w="2835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5"/>
              </w:rPr>
              <w:t>Profile Provider</w:t>
            </w:r>
          </w:p>
        </w:tc>
        <w:tc>
          <w:tcPr>
            <w:tcW w:type="dxa" w:w="6576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5"/>
              </w:rPr>
              <w:t>Defines industry ontology, workflows, policies and conformance.</w:t>
            </w:r>
          </w:p>
        </w:tc>
      </w:tr>
      <w:tr>
        <w:tc>
          <w:tcPr>
            <w:tcW w:type="dxa" w:w="2835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  <w:shd w:fill="F4F8FA"/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5"/>
              </w:rPr>
              <w:t>Ecosystem Operator</w:t>
            </w:r>
          </w:p>
        </w:tc>
        <w:tc>
          <w:tcPr>
            <w:tcW w:type="dxa" w:w="6576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  <w:shd w:fill="F4F8FA"/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5"/>
              </w:rPr>
              <w:t>Owns tenant/site/fleet, identities, policies and assurance.</w:t>
            </w:r>
          </w:p>
        </w:tc>
      </w:tr>
      <w:tr>
        <w:tc>
          <w:tcPr>
            <w:tcW w:type="dxa" w:w="2835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5"/>
              </w:rPr>
              <w:t>Federation Partner</w:t>
            </w:r>
          </w:p>
        </w:tc>
        <w:tc>
          <w:tcPr>
            <w:tcW w:type="dxa" w:w="6576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5"/>
              </w:rPr>
              <w:t>Exchanges approved state/evidence across trust boundary.</w:t>
            </w:r>
          </w:p>
        </w:tc>
      </w:tr>
      <w:tr>
        <w:tc>
          <w:tcPr>
            <w:tcW w:type="dxa" w:w="2835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  <w:shd w:fill="F4F8FA"/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5"/>
              </w:rPr>
              <w:t>Assessor</w:t>
            </w:r>
          </w:p>
        </w:tc>
        <w:tc>
          <w:tcPr>
            <w:tcW w:type="dxa" w:w="6576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  <w:shd w:fill="F4F8FA"/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5"/>
              </w:rPr>
              <w:t>Runs conformance/security/safety test suite.</w:t>
            </w:r>
          </w:p>
        </w:tc>
      </w:tr>
    </w:tbl>
    <w:p>
      <w:pPr>
        <w:spacing w:after="20"/>
      </w:pPr>
    </w:p>
    <w:p>
      <w:pPr>
        <w:pStyle w:val="Heading1"/>
      </w:pPr>
      <w:r>
        <w:t>2. Architecture and trust boundaries</w:t>
      </w:r>
    </w:p>
    <w:p>
      <w:pPr>
        <w:pStyle w:val="ListBullet"/>
        <w:spacing w:after="40"/>
      </w:pPr>
      <w:r>
        <w:t>Data/State, Swarm, Decision/Policy, Execution and Evidence planes.</w:t>
      </w:r>
    </w:p>
    <w:p>
      <w:pPr>
        <w:pStyle w:val="ListBullet"/>
        <w:spacing w:after="40"/>
      </w:pPr>
      <w:r>
        <w:t>Authoritative service for each object.</w:t>
      </w:r>
    </w:p>
    <w:p>
      <w:pPr>
        <w:pStyle w:val="ListBullet"/>
        <w:spacing w:after="40"/>
      </w:pPr>
      <w:r>
        <w:t>External device, peer, AI, human, actuator and federation trust boundaries.</w:t>
      </w:r>
    </w:p>
    <w:p>
      <w:pPr>
        <w:pStyle w:val="Heading1"/>
      </w:pPr>
      <w:r>
        <w:t>3. Identity and enrollment</w:t>
      </w:r>
    </w:p>
    <w:p>
      <w:pPr>
        <w:pStyle w:val="ListBullet"/>
        <w:spacing w:after="40"/>
      </w:pPr>
      <w:r>
        <w:t>Node/workload/user/organization identities.</w:t>
      </w:r>
    </w:p>
    <w:p>
      <w:pPr>
        <w:pStyle w:val="ListBullet"/>
        <w:spacing w:after="40"/>
      </w:pPr>
      <w:r>
        <w:t>Certificate/credential bootstrap, attestation, key rotation, revocation and quarantine.</w:t>
      </w:r>
    </w:p>
    <w:p>
      <w:pPr>
        <w:pStyle w:val="ListBullet"/>
        <w:spacing w:after="40"/>
      </w:pPr>
      <w:r>
        <w:t>Mission membership and trust domain claims.</w:t>
      </w:r>
    </w:p>
    <w:p>
      <w:pPr>
        <w:pStyle w:val="Heading1"/>
      </w:pPr>
      <w:r>
        <w:t>4. Canonical IDs and versioning</w:t>
      </w:r>
    </w:p>
    <w:p>
      <w:pPr>
        <w:pStyle w:val="ListBullet"/>
        <w:spacing w:after="40"/>
      </w:pPr>
      <w:r>
        <w:t>ecosystem_id, node_id, component_id, mission_id, task_id, entity_id, policy_id, evidence_id.</w:t>
      </w:r>
    </w:p>
    <w:p>
      <w:pPr>
        <w:pStyle w:val="ListBullet"/>
        <w:spacing w:after="40"/>
      </w:pPr>
      <w:r>
        <w:t>Stable URI rules, lifecycle, deprecation and aliasing.</w:t>
      </w:r>
    </w:p>
    <w:p>
      <w:pPr>
        <w:pStyle w:val="ListBullet"/>
        <w:spacing w:after="40"/>
      </w:pPr>
      <w:r>
        <w:t>Semantic version negotiation and compatibility profiles.</w:t>
      </w:r>
    </w:p>
    <w:p>
      <w:pPr>
        <w:pStyle w:val="Heading1"/>
      </w:pPr>
      <w:r>
        <w:t>5. Transport profiles</w:t>
      </w:r>
    </w:p>
    <w:p>
      <w:pPr>
        <w:pStyle w:val="ListBullet"/>
        <w:spacing w:after="40"/>
      </w:pPr>
      <w:r>
        <w:t>HTTPS/gRPC for command/query; MQTT/AMQP/NATS-like event profiles; DDS/ROS2 gateway where applicable.</w:t>
      </w:r>
    </w:p>
    <w:p>
      <w:pPr>
        <w:pStyle w:val="ListBullet"/>
        <w:spacing w:after="40"/>
      </w:pPr>
      <w:r>
        <w:t>QoS, ordering classes, reconnect, buffering, backpressure, rate limits and dead-letter.</w:t>
      </w:r>
    </w:p>
    <w:p>
      <w:pPr>
        <w:pStyle w:val="ListBullet"/>
        <w:spacing w:after="40"/>
      </w:pPr>
      <w:r>
        <w:t>P2P secure transport and constrained link profile.</w:t>
      </w:r>
    </w:p>
    <w:p>
      <w:pPr>
        <w:pStyle w:val="Heading1"/>
      </w:pPr>
      <w:r>
        <w:t>6. Universal Telemetry API</w:t>
      </w:r>
    </w:p>
    <w:p>
      <w:pPr>
        <w:pStyle w:val="ListBullet"/>
        <w:spacing w:after="40"/>
      </w:pPr>
      <w:r>
        <w:t>TelemetryEnvelope schema, modality registry, units, reference frames, timestamps, quality, uncertainty, privacy and provenance.</w:t>
      </w:r>
    </w:p>
    <w:p>
      <w:pPr>
        <w:pStyle w:val="ListBullet"/>
        <w:spacing w:after="40"/>
      </w:pPr>
      <w:r>
        <w:t>Batch, stream and store-and-forward modes.</w:t>
      </w:r>
    </w:p>
    <w:p>
      <w:pPr>
        <w:pStyle w:val="ListBullet"/>
        <w:spacing w:after="40"/>
      </w:pPr>
      <w:r>
        <w:t>Vendor extension rules.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9866"/>
      </w:tblGrid>
      <w:tr>
        <w:tc>
          <w:tcPr>
            <w:tcW w:type="dxa" w:w="9866"/>
            <w:shd w:fill="F4F8FA"/>
            <w:tcMar>
              <w:top w:w="140" w:type="dxa"/>
              <w:start w:w="180" w:type="dxa"/>
              <w:bottom w:w="140" w:type="dxa"/>
              <w:end w:w="180" w:type="dxa"/>
            </w:tcMar>
          </w:tcPr>
          <w:p>
            <w:pPr>
              <w:pStyle w:val="A3OCode"/>
            </w:pPr>
            <w:r/>
            <w:r>
              <w:t>{</w:t>
            </w:r>
          </w:p>
          <w:p>
            <w:pPr>
              <w:pStyle w:val="A3OCode"/>
            </w:pPr>
            <w:r>
              <w:t xml:space="preserve">  "message_id": "...", "source_node_id": "...",</w:t>
            </w:r>
          </w:p>
          <w:p>
            <w:pPr>
              <w:pStyle w:val="A3OCode"/>
            </w:pPr>
            <w:r>
              <w:t xml:space="preserve">  "ecosystem_id": "...", "mission_id": "...",</w:t>
            </w:r>
          </w:p>
          <w:p>
            <w:pPr>
              <w:pStyle w:val="A3OCode"/>
            </w:pPr>
            <w:r>
              <w:t xml:space="preserve">  "timestamp": "...", "data_modality": "PROCESS_STATE",</w:t>
            </w:r>
          </w:p>
          <w:p>
            <w:pPr>
              <w:pStyle w:val="A3OCode"/>
            </w:pPr>
            <w:r>
              <w:t xml:space="preserve">  "semantic_type": "machine.spindle.vibration",</w:t>
            </w:r>
          </w:p>
          <w:p>
            <w:pPr>
              <w:pStyle w:val="A3OCode"/>
            </w:pPr>
            <w:r>
              <w:t xml:space="preserve">  "unit_system": "SI", "quality": {...},</w:t>
            </w:r>
          </w:p>
          <w:p>
            <w:pPr>
              <w:pStyle w:val="A3OCode"/>
            </w:pPr>
            <w:r>
              <w:t xml:space="preserve">  "uncertainty": {...}, "schema_version": "1.0.0",</w:t>
            </w:r>
          </w:p>
          <w:p>
            <w:pPr>
              <w:pStyle w:val="A3OCode"/>
            </w:pPr>
            <w:r>
              <w:t xml:space="preserve">  "signature": "...", "provenance": {...}, "payload": {...}</w:t>
            </w:r>
          </w:p>
          <w:p>
            <w:pPr>
              <w:pStyle w:val="A3OCode"/>
            </w:pPr>
            <w:r>
              <w:t>}</w:t>
            </w:r>
          </w:p>
        </w:tc>
      </w:tr>
    </w:tbl>
    <w:p>
      <w:pPr>
        <w:spacing w:after="0"/>
      </w:pPr>
    </w:p>
    <w:p>
      <w:pPr>
        <w:pStyle w:val="Heading1"/>
      </w:pPr>
      <w:r>
        <w:t>7. State and World Model API</w:t>
      </w:r>
    </w:p>
    <w:p>
      <w:pPr>
        <w:pStyle w:val="ListBullet"/>
        <w:spacing w:after="40"/>
      </w:pPr>
      <w:r>
        <w:t>EntityState, ContextState, SharedWorldState and subscriptions.</w:t>
      </w:r>
    </w:p>
    <w:p>
      <w:pPr>
        <w:pStyle w:val="ListBullet"/>
        <w:spacing w:after="40"/>
      </w:pPr>
      <w:r>
        <w:t>Vector/sequence semantics, conflict markers, state age and uncertainty.</w:t>
      </w:r>
    </w:p>
    <w:p>
      <w:pPr>
        <w:pStyle w:val="ListBullet"/>
        <w:spacing w:after="40"/>
      </w:pPr>
      <w:r>
        <w:t>Snapshot, delta, replay and historical query.</w:t>
      </w:r>
    </w:p>
    <w:p>
      <w:pPr>
        <w:pStyle w:val="Heading1"/>
      </w:pPr>
      <w:r>
        <w:t>8. Peer Discovery and Mesh API</w:t>
      </w:r>
    </w:p>
    <w:p>
      <w:pPr>
        <w:pStyle w:val="ListBullet"/>
        <w:spacing w:after="40"/>
      </w:pPr>
      <w:r>
        <w:t>Mutual identity, mission context and supported schema ranges.</w:t>
      </w:r>
    </w:p>
    <w:p>
      <w:pPr>
        <w:pStyle w:val="ListBullet"/>
        <w:spacing w:after="40"/>
      </w:pPr>
      <w:r>
        <w:t>Join/leave/quarantine/topology events.</w:t>
      </w:r>
    </w:p>
    <w:p>
      <w:pPr>
        <w:pStyle w:val="ListBullet"/>
        <w:spacing w:after="40"/>
      </w:pPr>
      <w:r>
        <w:t>Network partition detection and degraded priorities.</w:t>
      </w:r>
    </w:p>
    <w:p>
      <w:pPr>
        <w:pStyle w:val="Heading1"/>
      </w:pPr>
      <w:r>
        <w:t>9. Capability Exchange API</w:t>
      </w:r>
    </w:p>
    <w:p>
      <w:pPr>
        <w:pStyle w:val="ListBullet"/>
        <w:spacing w:after="40"/>
      </w:pPr>
      <w:r>
        <w:t>CapabilityAdvertisement, limits, payload, mobility, energy, compute, comms and workload.</w:t>
      </w:r>
    </w:p>
    <w:p>
      <w:pPr>
        <w:pStyle w:val="ListBullet"/>
        <w:spacing w:after="40"/>
      </w:pPr>
      <w:r>
        <w:t>Lease/TTL, capability change and health degradation.</w:t>
      </w:r>
    </w:p>
    <w:p>
      <w:pPr>
        <w:pStyle w:val="Heading1"/>
      </w:pPr>
      <w:r>
        <w:t>10. Mission and Task APIs</w:t>
      </w:r>
    </w:p>
    <w:p>
      <w:pPr>
        <w:pStyle w:val="ListBullet"/>
        <w:spacing w:after="40"/>
      </w:pPr>
      <w:r>
        <w:t>MissionIntent, MissionPlan, TaskAssignment, acceptance, lease, preemption and reassignment.</w:t>
      </w:r>
    </w:p>
    <w:p>
      <w:pPr>
        <w:pStyle w:val="ListBullet"/>
        <w:spacing w:after="40"/>
      </w:pPr>
      <w:r>
        <w:t>Directed, auction, priority, redundant and opportunistic allocation.</w:t>
      </w:r>
    </w:p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2948"/>
        <w:gridCol w:w="6463"/>
      </w:tblGrid>
      <w:tr>
        <w:trPr>
          <w:tblHeader w:val="true"/>
        </w:trPr>
        <w:tc>
          <w:tcPr>
            <w:tcW w:type="dxa" w:w="4933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  <w:shd w:fill="0C1D2C"/>
          </w:tcPr>
          <w:p>
            <w:pPr>
              <w:spacing w:after="0"/>
            </w:pPr>
            <w:r/>
            <w:r>
              <w:rPr>
                <w:rFonts w:ascii="Liberation Mono" w:hAnsi="Liberation Mono"/>
                <w:b/>
                <w:color w:val="F4F7FA"/>
                <w:sz w:val="14"/>
              </w:rPr>
              <w:t>Object</w:t>
            </w:r>
          </w:p>
        </w:tc>
        <w:tc>
          <w:tcPr>
            <w:tcW w:type="dxa" w:w="4933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  <w:shd w:fill="0C1D2C"/>
          </w:tcPr>
          <w:p>
            <w:pPr>
              <w:spacing w:after="0"/>
            </w:pPr>
            <w:r/>
            <w:r>
              <w:rPr>
                <w:rFonts w:ascii="Liberation Mono" w:hAnsi="Liberation Mono"/>
                <w:b/>
                <w:color w:val="F4F7FA"/>
                <w:sz w:val="14"/>
              </w:rPr>
              <w:t>Key fields</w:t>
            </w:r>
          </w:p>
        </w:tc>
      </w:tr>
      <w:tr>
        <w:tc>
          <w:tcPr>
            <w:tcW w:type="dxa" w:w="2948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5"/>
              </w:rPr>
              <w:t>MissionIntent</w:t>
            </w:r>
          </w:p>
        </w:tc>
        <w:tc>
          <w:tcPr>
            <w:tcW w:type="dxa" w:w="6463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5"/>
              </w:rPr>
              <w:t>objective, priority, constraints, authority, success/termination criteria</w:t>
            </w:r>
          </w:p>
        </w:tc>
      </w:tr>
      <w:tr>
        <w:tc>
          <w:tcPr>
            <w:tcW w:type="dxa" w:w="2948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  <w:shd w:fill="F4F8FA"/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5"/>
              </w:rPr>
              <w:t>TaskAssignment</w:t>
            </w:r>
          </w:p>
        </w:tc>
        <w:tc>
          <w:tcPr>
            <w:tcW w:type="dxa" w:w="6463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  <w:shd w:fill="F4F8FA"/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5"/>
              </w:rPr>
              <w:t>task, assignee, backup, lease/TTL, capability required, acceptance</w:t>
            </w:r>
          </w:p>
        </w:tc>
      </w:tr>
      <w:tr>
        <w:tc>
          <w:tcPr>
            <w:tcW w:type="dxa" w:w="2948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5"/>
              </w:rPr>
              <w:t>CapabilityAdvertisement</w:t>
            </w:r>
          </w:p>
        </w:tc>
        <w:tc>
          <w:tcPr>
            <w:tcW w:type="dxa" w:w="6463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5"/>
              </w:rPr>
              <w:t>capability, limits, energy, compute, comms, workload, safety restrictions</w:t>
            </w:r>
          </w:p>
        </w:tc>
      </w:tr>
    </w:tbl>
    <w:p>
      <w:pPr>
        <w:spacing w:after="20"/>
      </w:pPr>
    </w:p>
    <w:p>
      <w:pPr>
        <w:pStyle w:val="Heading1"/>
      </w:pPr>
      <w:r>
        <w:t>11. Policy, Delegation and Human Authority API</w:t>
      </w:r>
    </w:p>
    <w:p>
      <w:pPr>
        <w:pStyle w:val="ListBullet"/>
        <w:spacing w:after="40"/>
      </w:pPr>
      <w:r>
        <w:t>PolicyEvaluation, DelegationGrant, PolicyDecision, human approval, revoke, conditions and deny reasons.</w:t>
      </w:r>
    </w:p>
    <w:p>
      <w:pPr>
        <w:pStyle w:val="ListBullet"/>
        <w:spacing w:after="40"/>
      </w:pPr>
      <w:r>
        <w:t>Scope, TTL, ODD, separation of duties and emergency controls.</w:t>
      </w:r>
    </w:p>
    <w:p>
      <w:pPr>
        <w:pStyle w:val="Heading1"/>
      </w:pPr>
      <w:r>
        <w:t>12. Action and Feedback API</w:t>
      </w:r>
    </w:p>
    <w:p>
      <w:pPr>
        <w:pStyle w:val="ListBullet"/>
        <w:spacing w:after="40"/>
      </w:pPr>
      <w:r>
        <w:t>ActionCommand, idempotency, bounded parameters, preconditions, ACK, progress, cancellation and ActionFeedback.</w:t>
      </w:r>
    </w:p>
    <w:p>
      <w:pPr>
        <w:pStyle w:val="ListBullet"/>
        <w:spacing w:after="40"/>
      </w:pPr>
      <w:r>
        <w:t>OutcomeAssessment distinct from transport ACK.</w:t>
      </w:r>
    </w:p>
    <w:p>
      <w:pPr>
        <w:pStyle w:val="Heading1"/>
      </w:pPr>
      <w:r>
        <w:t>13. Evidence and Assurance API</w:t>
      </w:r>
    </w:p>
    <w:p>
      <w:pPr>
        <w:pStyle w:val="ListBullet"/>
        <w:spacing w:after="40"/>
      </w:pPr>
      <w:r>
        <w:t>Append EvidenceFragment, merge, verify, export, manifest, media refs, classification and retention.</w:t>
      </w:r>
    </w:p>
    <w:p>
      <w:pPr>
        <w:pStyle w:val="ListBullet"/>
        <w:spacing w:after="40"/>
      </w:pPr>
      <w:r>
        <w:t>Selective disclosure and cross-domain export.</w:t>
      </w:r>
    </w:p>
    <w:p>
      <w:pPr>
        <w:pStyle w:val="Heading1"/>
      </w:pPr>
      <w:r>
        <w:t>14. Twin, Simulation and Replay API</w:t>
      </w:r>
    </w:p>
    <w:p>
      <w:pPr>
        <w:pStyle w:val="ListBullet"/>
        <w:spacing w:after="40"/>
      </w:pPr>
      <w:r>
        <w:t>TwinEntity, geometry, process/environment model, scenario and forecast.</w:t>
      </w:r>
    </w:p>
    <w:p>
      <w:pPr>
        <w:pStyle w:val="ListBullet"/>
        <w:spacing w:after="40"/>
      </w:pPr>
      <w:r>
        <w:t>LIVE/SIMULATION/FORECAST/REPLAY namespace and adapter separation.</w:t>
      </w:r>
    </w:p>
    <w:p>
      <w:pPr>
        <w:pStyle w:val="Heading1"/>
      </w:pPr>
      <w:r>
        <w:t>15. Health and Observability</w:t>
      </w:r>
    </w:p>
    <w:p>
      <w:pPr>
        <w:pStyle w:val="ListBullet"/>
        <w:spacing w:after="40"/>
      </w:pPr>
      <w:r>
        <w:t>Heartbeat, resource, latency, queue, trust/safety state, degraded reason, evidence offset.</w:t>
      </w:r>
    </w:p>
    <w:p>
      <w:pPr>
        <w:pStyle w:val="ListBullet"/>
        <w:spacing w:after="40"/>
      </w:pPr>
      <w:r>
        <w:t>Logs, metrics, traces and SLO/error budget.</w:t>
      </w:r>
    </w:p>
    <w:p>
      <w:pPr>
        <w:pStyle w:val="Heading1"/>
      </w:pPr>
      <w:r>
        <w:t>16. Offline, Partition and Reconciliation</w:t>
      </w:r>
    </w:p>
    <w:p>
      <w:pPr>
        <w:pStyle w:val="ListBullet"/>
        <w:spacing w:after="40"/>
      </w:pPr>
      <w:r>
        <w:t>Store-and-forward, vector clocks, conflict retention, authority expiry and sync cursors.</w:t>
      </w:r>
    </w:p>
    <w:p>
      <w:pPr>
        <w:pStyle w:val="ListBullet"/>
        <w:spacing w:after="40"/>
      </w:pPr>
      <w:r>
        <w:t>Reconciliation report and human review triggers.</w:t>
      </w:r>
    </w:p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2381"/>
        <w:gridCol w:w="7030"/>
      </w:tblGrid>
      <w:tr>
        <w:trPr>
          <w:tblHeader w:val="true"/>
        </w:trPr>
        <w:tc>
          <w:tcPr>
            <w:tcW w:type="dxa" w:w="4933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  <w:shd w:fill="0C1D2C"/>
          </w:tcPr>
          <w:p>
            <w:pPr>
              <w:spacing w:after="0"/>
            </w:pPr>
            <w:r/>
            <w:r>
              <w:rPr>
                <w:rFonts w:ascii="Liberation Mono" w:hAnsi="Liberation Mono"/>
                <w:b/>
                <w:color w:val="F4F7FA"/>
                <w:sz w:val="14"/>
              </w:rPr>
              <w:t>State</w:t>
            </w:r>
          </w:p>
        </w:tc>
        <w:tc>
          <w:tcPr>
            <w:tcW w:type="dxa" w:w="4933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  <w:shd w:fill="0C1D2C"/>
          </w:tcPr>
          <w:p>
            <w:pPr>
              <w:spacing w:after="0"/>
            </w:pPr>
            <w:r/>
            <w:r>
              <w:rPr>
                <w:rFonts w:ascii="Liberation Mono" w:hAnsi="Liberation Mono"/>
                <w:b/>
                <w:color w:val="F4F7FA"/>
                <w:sz w:val="14"/>
              </w:rPr>
              <w:t>API behavior</w:t>
            </w:r>
          </w:p>
        </w:tc>
      </w:tr>
      <w:tr>
        <w:tc>
          <w:tcPr>
            <w:tcW w:type="dxa" w:w="2381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5"/>
              </w:rPr>
              <w:t>CONNECTED</w:t>
            </w:r>
          </w:p>
        </w:tc>
        <w:tc>
          <w:tcPr>
            <w:tcW w:type="dxa" w:w="7030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5"/>
              </w:rPr>
              <w:t>Normal streaming and sync.</w:t>
            </w:r>
          </w:p>
        </w:tc>
      </w:tr>
      <w:tr>
        <w:tc>
          <w:tcPr>
            <w:tcW w:type="dxa" w:w="2381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  <w:shd w:fill="F4F8FA"/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5"/>
              </w:rPr>
              <w:t>DEGRADED</w:t>
            </w:r>
          </w:p>
        </w:tc>
        <w:tc>
          <w:tcPr>
            <w:tcW w:type="dxa" w:w="7030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  <w:shd w:fill="F4F8FA"/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5"/>
              </w:rPr>
              <w:t>Priority classes and reduced update rate.</w:t>
            </w:r>
          </w:p>
        </w:tc>
      </w:tr>
      <w:tr>
        <w:tc>
          <w:tcPr>
            <w:tcW w:type="dxa" w:w="2381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5"/>
              </w:rPr>
              <w:t>PARTITIONED</w:t>
            </w:r>
          </w:p>
        </w:tc>
        <w:tc>
          <w:tcPr>
            <w:tcW w:type="dxa" w:w="7030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5"/>
              </w:rPr>
              <w:t>Local delegated operations; buffer evidence/state.</w:t>
            </w:r>
          </w:p>
        </w:tc>
      </w:tr>
      <w:tr>
        <w:tc>
          <w:tcPr>
            <w:tcW w:type="dxa" w:w="2381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  <w:shd w:fill="F4F8FA"/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5"/>
              </w:rPr>
              <w:t>ISOLATED</w:t>
            </w:r>
          </w:p>
        </w:tc>
        <w:tc>
          <w:tcPr>
            <w:tcW w:type="dxa" w:w="7030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  <w:shd w:fill="F4F8FA"/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5"/>
              </w:rPr>
              <w:t>Profile-specific safe fallback.</w:t>
            </w:r>
          </w:p>
        </w:tc>
      </w:tr>
      <w:tr>
        <w:tc>
          <w:tcPr>
            <w:tcW w:type="dxa" w:w="2381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5"/>
              </w:rPr>
              <w:t>RECONCILING</w:t>
            </w:r>
          </w:p>
        </w:tc>
        <w:tc>
          <w:tcPr>
            <w:tcW w:type="dxa" w:w="7030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5"/>
              </w:rPr>
              <w:t>Exchange deltas/fragments, preserve conflicts.</w:t>
            </w:r>
          </w:p>
        </w:tc>
      </w:tr>
      <w:tr>
        <w:tc>
          <w:tcPr>
            <w:tcW w:type="dxa" w:w="2381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  <w:shd w:fill="F4F8FA"/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5"/>
              </w:rPr>
              <w:t>RESTORED</w:t>
            </w:r>
          </w:p>
        </w:tc>
        <w:tc>
          <w:tcPr>
            <w:tcW w:type="dxa" w:w="7030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  <w:shd w:fill="F4F8FA"/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5"/>
              </w:rPr>
              <w:t>Publish reconciliation result and resume approved mode.</w:t>
            </w:r>
          </w:p>
        </w:tc>
      </w:tr>
    </w:tbl>
    <w:p>
      <w:pPr>
        <w:spacing w:after="20"/>
      </w:pPr>
    </w:p>
    <w:p>
      <w:pPr>
        <w:pStyle w:val="Heading1"/>
      </w:pPr>
      <w:r>
        <w:t>17. Industry Profile SDK</w:t>
      </w:r>
    </w:p>
    <w:p>
      <w:pPr>
        <w:pStyle w:val="ListBullet"/>
        <w:spacing w:after="40"/>
      </w:pPr>
      <w:r>
        <w:t>Profile manifest, ontology extensions, state/action schemas, workflow templates, policy packs and tests.</w:t>
      </w:r>
    </w:p>
    <w:p>
      <w:pPr>
        <w:pStyle w:val="ListBullet"/>
        <w:spacing w:after="40"/>
      </w:pPr>
      <w:r>
        <w:t>Prohibited semantic overrides and compatibility checks.</w:t>
      </w:r>
    </w:p>
    <w:p>
      <w:pPr>
        <w:pStyle w:val="Heading1"/>
      </w:pPr>
      <w:r>
        <w:t>18. Errors and Resilience</w:t>
      </w:r>
    </w:p>
    <w:p>
      <w:pPr>
        <w:pStyle w:val="ListBullet"/>
        <w:spacing w:after="40"/>
      </w:pPr>
      <w:r>
        <w:t>Canonical error model, retryability, partial success, quarantine, dead-letter and replay.</w:t>
      </w:r>
    </w:p>
    <w:p>
      <w:pPr>
        <w:pStyle w:val="ListBullet"/>
        <w:spacing w:after="40"/>
      </w:pPr>
      <w:r>
        <w:t>Safe behavior for unknown/invalid policy-critical data.</w:t>
      </w:r>
    </w:p>
    <w:p>
      <w:pPr>
        <w:pStyle w:val="Heading1"/>
      </w:pPr>
      <w:r>
        <w:t>19. Security Requirements</w:t>
      </w:r>
    </w:p>
    <w:p>
      <w:pPr>
        <w:pStyle w:val="ListBullet"/>
        <w:spacing w:after="40"/>
      </w:pPr>
      <w:r>
        <w:t>mTLS, least privilege, input validation, secret handling, secure update, rate limiting, audit and SBOM status.</w:t>
      </w:r>
    </w:p>
    <w:p>
      <w:pPr>
        <w:pStyle w:val="ListBullet"/>
        <w:spacing w:after="40"/>
      </w:pPr>
      <w:r>
        <w:t>Anti-replay, anti-Sybil, peer isolation and evidence integrity.</w:t>
      </w:r>
    </w:p>
    <w:p>
      <w:pPr>
        <w:pStyle w:val="Heading1"/>
      </w:pPr>
      <w:r>
        <w:t>20. Conformance Test Kit</w:t>
      </w:r>
    </w:p>
    <w:p>
      <w:pPr>
        <w:pStyle w:val="ListBullet"/>
        <w:spacing w:after="40"/>
      </w:pPr>
      <w:r>
        <w:t>Schema validation, golden datasets, protocol emulator, latency/loss/partition tests, compromised-peer tests and evidence verification.</w:t>
      </w:r>
    </w:p>
    <w:p>
      <w:pPr>
        <w:pStyle w:val="ListBullet"/>
        <w:spacing w:after="40"/>
      </w:pPr>
      <w:r>
        <w:t>Machine-readable pass/fail report tied to profile/maturity.</w:t>
      </w:r>
    </w:p>
    <w:p>
      <w:pPr>
        <w:pStyle w:val="Heading1"/>
      </w:pPr>
      <w:r>
        <w:t>21. Worked integration examples</w:t>
      </w:r>
    </w:p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2891"/>
        <w:gridCol w:w="6520"/>
      </w:tblGrid>
      <w:tr>
        <w:trPr>
          <w:tblHeader w:val="true"/>
        </w:trPr>
        <w:tc>
          <w:tcPr>
            <w:tcW w:type="dxa" w:w="4933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  <w:shd w:fill="0C1D2C"/>
          </w:tcPr>
          <w:p>
            <w:pPr>
              <w:spacing w:after="0"/>
            </w:pPr>
            <w:r/>
            <w:r>
              <w:rPr>
                <w:rFonts w:ascii="Liberation Mono" w:hAnsi="Liberation Mono"/>
                <w:b/>
                <w:color w:val="F4F7FA"/>
                <w:sz w:val="14"/>
              </w:rPr>
              <w:t>Example</w:t>
            </w:r>
          </w:p>
        </w:tc>
        <w:tc>
          <w:tcPr>
            <w:tcW w:type="dxa" w:w="4933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  <w:shd w:fill="0C1D2C"/>
          </w:tcPr>
          <w:p>
            <w:pPr>
              <w:spacing w:after="0"/>
            </w:pPr>
            <w:r/>
            <w:r>
              <w:rPr>
                <w:rFonts w:ascii="Liberation Mono" w:hAnsi="Liberation Mono"/>
                <w:b/>
                <w:color w:val="F4F7FA"/>
                <w:sz w:val="14"/>
              </w:rPr>
              <w:t>Canonical flow</w:t>
            </w:r>
          </w:p>
        </w:tc>
      </w:tr>
      <w:tr>
        <w:tc>
          <w:tcPr>
            <w:tcW w:type="dxa" w:w="2891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4"/>
              </w:rPr>
              <w:t>Industrial robot cell</w:t>
            </w:r>
          </w:p>
        </w:tc>
        <w:tc>
          <w:tcPr>
            <w:tcW w:type="dxa" w:w="6520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4"/>
              </w:rPr>
              <w:t>PLC/robot adapter → process telemetry → MachineState → workflow/task → policy/safety → ProcessCommand → quality evidence.</w:t>
            </w:r>
          </w:p>
        </w:tc>
      </w:tr>
      <w:tr>
        <w:tc>
          <w:tcPr>
            <w:tcW w:type="dxa" w:w="2891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  <w:shd w:fill="F4F8FA"/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4"/>
              </w:rPr>
              <w:t>Warehouse AMR fleet</w:t>
            </w:r>
          </w:p>
        </w:tc>
        <w:tc>
          <w:tcPr>
            <w:tcW w:type="dxa" w:w="6520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  <w:shd w:fill="F4F8FA"/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4"/>
              </w:rPr>
              <w:t>AMR capabilities/energy → shared map/state → distributed allocation → route command → delivery outcome and chain of custody.</w:t>
            </w:r>
          </w:p>
        </w:tc>
      </w:tr>
      <w:tr>
        <w:tc>
          <w:tcPr>
            <w:tcW w:type="dxa" w:w="2891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4"/>
              </w:rPr>
              <w:t>Delivery UAV</w:t>
            </w:r>
          </w:p>
        </w:tc>
        <w:tc>
          <w:tcPr>
            <w:tcW w:type="dxa" w:w="6520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4"/>
              </w:rPr>
              <w:t>Navigation/payload/weather → MissionPlan → geofence/authority → flight task → hand-off evidence.</w:t>
            </w:r>
          </w:p>
        </w:tc>
      </w:tr>
      <w:tr>
        <w:tc>
          <w:tcPr>
            <w:tcW w:type="dxa" w:w="2891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  <w:shd w:fill="F4F8FA"/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4"/>
              </w:rPr>
              <w:t>Medical delivery robot</w:t>
            </w:r>
          </w:p>
        </w:tc>
        <w:tc>
          <w:tcPr>
            <w:tcW w:type="dxa" w:w="6520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  <w:shd w:fill="F4F8FA"/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4"/>
              </w:rPr>
              <w:t>Patient/cargo identity → privacy policy → route/task → human escalation → custody and delivery verification.</w:t>
            </w:r>
          </w:p>
        </w:tc>
      </w:tr>
      <w:tr>
        <w:tc>
          <w:tcPr>
            <w:tcW w:type="dxa" w:w="2891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4"/>
              </w:rPr>
              <w:t>Environmental survey swarm</w:t>
            </w:r>
          </w:p>
        </w:tc>
        <w:tc>
          <w:tcPr>
            <w:tcW w:type="dxa" w:w="6520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4"/>
              </w:rPr>
              <w:t>Coverage plan → capability exchange → zone allocation → multimodal telemetry → dataset provenance and gap detection.</w:t>
            </w:r>
          </w:p>
        </w:tc>
      </w:tr>
      <w:tr>
        <w:tc>
          <w:tcPr>
            <w:tcW w:type="dxa" w:w="2891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  <w:shd w:fill="F4F8FA"/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4"/>
              </w:rPr>
              <w:t>DroneDefender</w:t>
            </w:r>
          </w:p>
        </w:tc>
        <w:tc>
          <w:tcPr>
            <w:tcW w:type="dxa" w:w="6520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  <w:shd w:fill="F4F8FA"/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4"/>
              </w:rPr>
              <w:t>RF/radar/EO-IR/acoustic → profile Detection/Track/Threat → policy/human authority → bounded response → incident evidence.</w:t>
            </w:r>
          </w:p>
        </w:tc>
      </w:tr>
    </w:tbl>
    <w:p>
      <w:pPr>
        <w:spacing w:after="20"/>
      </w:pPr>
    </w:p>
    <w:sectPr w:rsidR="00FC693F" w:rsidRPr="0006063C" w:rsidSect="00034616">
      <w:headerReference w:type="default" r:id="rId9"/>
      <w:footerReference w:type="default" r:id="rId10"/>
      <w:pgSz w:w="11906" w:h="16838"/>
      <w:pgMar w:top="964" w:right="1020" w:bottom="907" w:left="1020" w:header="397" w:footer="397" w:gutter="0"/>
      <w:cols w:space="720"/>
      <w:docGrid w:linePitch="360"/>
      <w:pgBorders w:offsetFrom="page">
        <w:top w:val="single" w:sz="8" w:space="20" w:color="D8E3EA"/>
        <w:left w:val="single" w:sz="8" w:space="20" w:color="D8E3EA"/>
        <w:bottom w:val="single" w:sz="8" w:space="20" w:color="D8E3EA"/>
        <w:right w:val="single" w:sz="8" w:space="20" w:color="D8E3EA"/>
      </w:pgBorder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>
      <w:rPr>
        <w:rFonts w:ascii="Liberation Mono" w:hAnsi="Liberation Mono"/>
        <w:color w:val="526374"/>
        <w:sz w:val="14"/>
      </w:rPr>
      <w:t xml:space="preserve">A³O  |  </w:t>
      <w:fldChar w:fldCharType="begin"/>
      <w:instrText xml:space="preserve"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A3OKicker"/>
      <w:jc w:val="right"/>
    </w:pPr>
    <w:r>
      <w:t>A³O API &amp; INTEGRATION GUIDE R1.0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80" w:line="259" w:lineRule="auto"/>
    </w:pPr>
    <w:rPr>
      <w:rFonts w:ascii="Liberation Sans" w:hAnsi="Liberation Sans"/>
      <w:color w:val="172431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260" w:after="120"/>
      <w:outlineLvl w:val="0"/>
    </w:pPr>
    <w:rPr>
      <w:rFonts w:asciiTheme="majorHAnsi" w:eastAsiaTheme="majorEastAsia" w:hAnsiTheme="majorHAnsi" w:cstheme="majorBidi" w:ascii="Liberation Sans" w:hAnsi="Liberation Sans"/>
      <w:b/>
      <w:bCs/>
      <w:color w:val="07131F"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80"/>
      <w:outlineLvl w:val="1"/>
    </w:pPr>
    <w:rPr>
      <w:rFonts w:asciiTheme="majorHAnsi" w:eastAsiaTheme="majorEastAsia" w:hAnsiTheme="majorHAnsi" w:cstheme="majorBidi" w:ascii="Liberation Sans" w:hAnsi="Liberation Sans"/>
      <w:b/>
      <w:bCs/>
      <w:color w:val="0C1D2C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140" w:after="60"/>
      <w:outlineLvl w:val="2"/>
    </w:pPr>
    <w:rPr>
      <w:rFonts w:asciiTheme="majorHAnsi" w:eastAsiaTheme="majorEastAsia" w:hAnsiTheme="majorHAnsi" w:cstheme="majorBidi" w:ascii="Liberation Sans" w:hAnsi="Liberation Sans"/>
      <w:b/>
      <w:bCs/>
      <w:color w:val="43C7F4"/>
      <w:sz w:val="2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keepNext/>
      <w:pBdr>
        <w:bottom w:val="single" w:sz="8" w:space="4" w:color="4F81BD" w:themeColor="accent1"/>
      </w:pBdr>
      <w:spacing w:after="160" w:line="240" w:lineRule="auto" w:before="0"/>
      <w:contextualSpacing/>
    </w:pPr>
    <w:rPr>
      <w:rFonts w:asciiTheme="majorHAnsi" w:eastAsiaTheme="majorEastAsia" w:hAnsiTheme="majorHAnsi" w:cstheme="majorBidi" w:ascii="Liberation Sans" w:hAnsi="Liberation Sans"/>
      <w:b/>
      <w:color w:val="07131F"/>
      <w:spacing w:val="5"/>
      <w:kern w:val="28"/>
      <w:sz w:val="60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keepNext/>
      <w:numPr>
        <w:ilvl w:val="1"/>
      </w:numPr>
      <w:spacing w:before="0" w:after="240"/>
    </w:pPr>
    <w:rPr>
      <w:rFonts w:asciiTheme="majorHAnsi" w:eastAsiaTheme="majorEastAsia" w:hAnsiTheme="majorHAnsi" w:cstheme="majorBidi" w:ascii="Liberation Sans" w:hAnsi="Liberation Sans"/>
      <w:b w:val="0"/>
      <w:i/>
      <w:iCs/>
      <w:color w:val="526374"/>
      <w:spacing w:val="15"/>
      <w:sz w:val="26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3OKicker">
    <w:name w:val="A3O Kicker"/>
    <w:pPr>
      <w:keepNext/>
      <w:spacing w:after="120"/>
    </w:pPr>
    <w:rPr>
      <w:rFonts w:ascii="Liberation Mono" w:hAnsi="Liberation Mono"/>
      <w:b/>
      <w:color w:val="43C7F4"/>
      <w:sz w:val="15"/>
    </w:rPr>
  </w:style>
  <w:style w:type="paragraph" w:customStyle="1" w:styleId="A3OCallout">
    <w:name w:val="A3O Callout"/>
    <w:pPr>
      <w:spacing w:before="120" w:after="120" w:line="264" w:lineRule="auto"/>
      <w:ind w:left="227" w:right="227"/>
    </w:pPr>
    <w:rPr>
      <w:rFonts w:ascii="Liberation Sans" w:hAnsi="Liberation Sans"/>
      <w:b/>
      <w:color w:val="07131F"/>
      <w:sz w:val="20"/>
    </w:rPr>
  </w:style>
  <w:style w:type="paragraph" w:customStyle="1" w:styleId="A3OCode">
    <w:name w:val="A3O Code"/>
    <w:pPr>
      <w:spacing w:after="40"/>
      <w:ind w:left="227"/>
    </w:pPr>
    <w:rPr>
      <w:rFonts w:ascii="Liberation Mono" w:hAnsi="Liberation Mono"/>
      <w:color w:val="0C1D2C"/>
      <w:sz w:val="15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A³O API &amp; INTEGRATION GUIDE R1.0</dc:title>
  <dc:subject>A³O Universal Trusted Framework for Autonomous Ecosystems</dc:subject>
  <dc:creator>A³O CTO Office</dc:creator>
  <cp:keywords>A3O, autonomy, robotics, swarm, edge, trust, governance, evidence</cp:keywords>
  <dc:description>Confidential working draft. R1.0 Candidate.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