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751"/>
      </w:tblGrid>
      <w:tr>
        <w:tc>
          <w:tcPr>
            <w:tcW w:type="dxa" w:w="9866"/>
            <w:shd w:fill="07131F"/>
            <w:tcMar>
              <w:top w:w="420" w:type="dxa"/>
              <w:start w:w="420" w:type="dxa"/>
              <w:bottom w:w="420" w:type="dxa"/>
              <w:end w:w="420" w:type="dxa"/>
            </w:tcMar>
          </w:tcPr>
          <w:p>
            <w:pPr>
              <w:pStyle w:val="A3OKicker"/>
            </w:pPr>
            <w:r>
              <w:t>A³O  /  UNIVERSAL TRUSTED FRAMEWORK</w:t>
            </w:r>
          </w:p>
          <w:p>
            <w:pPr>
              <w:spacing w:before="360" w:after="160"/>
            </w:pPr>
            <w:r>
              <w:rPr>
                <w:rFonts w:ascii="Liberation Sans" w:hAnsi="Liberation Sans"/>
                <w:b/>
                <w:color w:val="F4F7FA"/>
                <w:sz w:val="58"/>
              </w:rPr>
              <w:t>A³O: Universal Trusted Framework for Autonomous Ecosystems</w:t>
            </w:r>
          </w:p>
          <w:p>
            <w:pPr>
              <w:spacing w:after="360"/>
            </w:pPr>
            <w:r>
              <w:rPr>
                <w:rFonts w:ascii="Liberation Sans" w:hAnsi="Liberation Sans"/>
                <w:color w:val="A9BBC8"/>
                <w:sz w:val="26"/>
              </w:rPr>
              <w:t>Trust, coordination and accountable execution for the autonomous world</w:t>
            </w:r>
          </w:p>
          <w:p>
            <w:r>
              <w:rPr>
                <w:rFonts w:ascii="Liberation Mono" w:hAnsi="Liberation Mono"/>
                <w:b/>
                <w:color w:val="39E6A1"/>
                <w:sz w:val="16"/>
              </w:rPr>
              <w:t>R1.0 CANDIDATE</w:t>
            </w:r>
          </w:p>
          <w:p>
            <w:pPr>
              <w:spacing w:after="40"/>
            </w:pPr>
            <w:r>
              <w:rPr>
                <w:rFonts w:ascii="Liberation Mono" w:hAnsi="Liberation Mono"/>
                <w:color w:val="BFD0DB"/>
                <w:sz w:val="15"/>
              </w:rPr>
              <w:t>COORDINATE ANY MACHINE</w:t>
            </w:r>
          </w:p>
          <w:p>
            <w:pPr>
              <w:spacing w:after="40"/>
            </w:pPr>
            <w:r>
              <w:rPr>
                <w:rFonts w:ascii="Liberation Mono" w:hAnsi="Liberation Mono"/>
                <w:color w:val="BFD0DB"/>
                <w:sz w:val="15"/>
              </w:rPr>
              <w:t>GOVERN EVERY MISSION</w:t>
            </w:r>
          </w:p>
          <w:p>
            <w:pPr>
              <w:spacing w:after="40"/>
            </w:pPr>
            <w:r>
              <w:rPr>
                <w:rFonts w:ascii="Liberation Mono" w:hAnsi="Liberation Mono"/>
                <w:color w:val="BFD0DB"/>
                <w:sz w:val="15"/>
              </w:rPr>
              <w:t>PROVE EVERY ACTION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370"/>
      </w:tblGrid>
      <w:tr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526374"/>
                <w:sz w:val="15"/>
              </w:rPr>
              <w:t>DOCUMENT ID</w:t>
            </w:r>
          </w:p>
        </w:tc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 w:val="0"/>
                <w:color w:val="0C1D2C"/>
                <w:sz w:val="17"/>
              </w:rPr>
              <w:t>A3O-WP-R1.0-CANDIDATE-RU</w:t>
            </w:r>
          </w:p>
        </w:tc>
      </w:tr>
      <w:tr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526374"/>
                <w:sz w:val="15"/>
              </w:rPr>
              <w:t>DATE</w:t>
            </w:r>
          </w:p>
        </w:tc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 w:val="0"/>
                <w:color w:val="0C1D2C"/>
                <w:sz w:val="17"/>
              </w:rPr>
              <w:t>17 JULY 2026</w:t>
            </w:r>
          </w:p>
        </w:tc>
      </w:tr>
      <w:tr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526374"/>
                <w:sz w:val="15"/>
              </w:rPr>
              <w:t>STATUS</w:t>
            </w:r>
          </w:p>
        </w:tc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0C1D2C"/>
                <w:sz w:val="17"/>
              </w:rPr>
              <w:t>CONFIDENTIAL WORKING DRAFT</w:t>
            </w:r>
          </w:p>
        </w:tc>
      </w:tr>
    </w:tbl>
    <w:p>
      <w:r>
        <w:br w:type="page"/>
      </w:r>
    </w:p>
    <w:p>
      <w:pPr>
        <w:pStyle w:val="Heading1"/>
      </w:pPr>
      <w:r>
        <w:t>Содержание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624"/>
        <w:gridCol w:w="8957"/>
      </w:tblGrid>
      <w:tr>
        <w:tc>
          <w:tcPr>
            <w:tcW w:type="dxa" w:w="6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43C7F4"/>
                <w:sz w:val="16"/>
              </w:rPr>
              <w:t>1</w:t>
            </w:r>
          </w:p>
        </w:tc>
        <w:tc>
          <w:tcPr>
            <w:tcW w:type="dxa" w:w="89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0C1D2C"/>
                <w:sz w:val="18"/>
              </w:rPr>
              <w:t>Исполнительный тезис</w:t>
            </w:r>
          </w:p>
        </w:tc>
      </w:tr>
      <w:tr>
        <w:tc>
          <w:tcPr>
            <w:tcW w:type="dxa" w:w="6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43C7F4"/>
                <w:sz w:val="16"/>
              </w:rPr>
              <w:t>2</w:t>
            </w:r>
          </w:p>
        </w:tc>
        <w:tc>
          <w:tcPr>
            <w:tcW w:type="dxa" w:w="89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0C1D2C"/>
                <w:sz w:val="18"/>
              </w:rPr>
              <w:t>Проблема автономных экосистем</w:t>
            </w:r>
          </w:p>
        </w:tc>
      </w:tr>
      <w:tr>
        <w:tc>
          <w:tcPr>
            <w:tcW w:type="dxa" w:w="6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43C7F4"/>
                <w:sz w:val="16"/>
              </w:rPr>
              <w:t>3</w:t>
            </w:r>
          </w:p>
        </w:tc>
        <w:tc>
          <w:tcPr>
            <w:tcW w:type="dxa" w:w="89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0C1D2C"/>
                <w:sz w:val="18"/>
              </w:rPr>
              <w:t>Новая инфраструктурная категория</w:t>
            </w:r>
          </w:p>
        </w:tc>
      </w:tr>
      <w:tr>
        <w:tc>
          <w:tcPr>
            <w:tcW w:type="dxa" w:w="6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43C7F4"/>
                <w:sz w:val="16"/>
              </w:rPr>
              <w:t>4</w:t>
            </w:r>
          </w:p>
        </w:tc>
        <w:tc>
          <w:tcPr>
            <w:tcW w:type="dxa" w:w="89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0C1D2C"/>
                <w:sz w:val="18"/>
              </w:rPr>
              <w:t>Универсальный operational loop</w:t>
            </w:r>
          </w:p>
        </w:tc>
      </w:tr>
      <w:tr>
        <w:tc>
          <w:tcPr>
            <w:tcW w:type="dxa" w:w="6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43C7F4"/>
                <w:sz w:val="16"/>
              </w:rPr>
              <w:t>5</w:t>
            </w:r>
          </w:p>
        </w:tc>
        <w:tc>
          <w:tcPr>
            <w:tcW w:type="dxa" w:w="89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0C1D2C"/>
                <w:sz w:val="18"/>
              </w:rPr>
              <w:t>Reference Architecture</w:t>
            </w:r>
          </w:p>
        </w:tc>
      </w:tr>
      <w:tr>
        <w:tc>
          <w:tcPr>
            <w:tcW w:type="dxa" w:w="6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43C7F4"/>
                <w:sz w:val="16"/>
              </w:rPr>
              <w:t>6</w:t>
            </w:r>
          </w:p>
        </w:tc>
        <w:tc>
          <w:tcPr>
            <w:tcW w:type="dxa" w:w="89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0C1D2C"/>
                <w:sz w:val="18"/>
              </w:rPr>
              <w:t>Распределённый рой и edge autonomy</w:t>
            </w:r>
          </w:p>
        </w:tc>
      </w:tr>
      <w:tr>
        <w:tc>
          <w:tcPr>
            <w:tcW w:type="dxa" w:w="6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43C7F4"/>
                <w:sz w:val="16"/>
              </w:rPr>
              <w:t>7</w:t>
            </w:r>
          </w:p>
        </w:tc>
        <w:tc>
          <w:tcPr>
            <w:tcW w:type="dxa" w:w="89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0C1D2C"/>
                <w:sz w:val="18"/>
              </w:rPr>
              <w:t>Данные, состояние и knowledge architecture</w:t>
            </w:r>
          </w:p>
        </w:tc>
      </w:tr>
      <w:tr>
        <w:tc>
          <w:tcPr>
            <w:tcW w:type="dxa" w:w="6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43C7F4"/>
                <w:sz w:val="16"/>
              </w:rPr>
              <w:t>8</w:t>
            </w:r>
          </w:p>
        </w:tc>
        <w:tc>
          <w:tcPr>
            <w:tcW w:type="dxa" w:w="89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0C1D2C"/>
                <w:sz w:val="18"/>
              </w:rPr>
              <w:t>Governance, human authority and safety</w:t>
            </w:r>
          </w:p>
        </w:tc>
      </w:tr>
      <w:tr>
        <w:tc>
          <w:tcPr>
            <w:tcW w:type="dxa" w:w="6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43C7F4"/>
                <w:sz w:val="16"/>
              </w:rPr>
              <w:t>9</w:t>
            </w:r>
          </w:p>
        </w:tc>
        <w:tc>
          <w:tcPr>
            <w:tcW w:type="dxa" w:w="89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0C1D2C"/>
                <w:sz w:val="18"/>
              </w:rPr>
              <w:t>Отраслевые сценарии</w:t>
            </w:r>
          </w:p>
        </w:tc>
      </w:tr>
      <w:tr>
        <w:tc>
          <w:tcPr>
            <w:tcW w:type="dxa" w:w="6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43C7F4"/>
                <w:sz w:val="16"/>
              </w:rPr>
              <w:t>10</w:t>
            </w:r>
          </w:p>
        </w:tc>
        <w:tc>
          <w:tcPr>
            <w:tcW w:type="dxa" w:w="89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0C1D2C"/>
                <w:sz w:val="18"/>
              </w:rPr>
              <w:t>Продуктовый портфель и deployment profiles</w:t>
            </w:r>
          </w:p>
        </w:tc>
      </w:tr>
      <w:tr>
        <w:tc>
          <w:tcPr>
            <w:tcW w:type="dxa" w:w="6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43C7F4"/>
                <w:sz w:val="16"/>
              </w:rPr>
              <w:t>11</w:t>
            </w:r>
          </w:p>
        </w:tc>
        <w:tc>
          <w:tcPr>
            <w:tcW w:type="dxa" w:w="89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0C1D2C"/>
                <w:sz w:val="18"/>
              </w:rPr>
              <w:t>Бизнес-модель</w:t>
            </w:r>
          </w:p>
        </w:tc>
      </w:tr>
      <w:tr>
        <w:tc>
          <w:tcPr>
            <w:tcW w:type="dxa" w:w="6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43C7F4"/>
                <w:sz w:val="16"/>
              </w:rPr>
              <w:t>12</w:t>
            </w:r>
          </w:p>
        </w:tc>
        <w:tc>
          <w:tcPr>
            <w:tcW w:type="dxa" w:w="89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0C1D2C"/>
                <w:sz w:val="18"/>
              </w:rPr>
              <w:t>Рынок и TAM/SAM/SOM</w:t>
            </w:r>
          </w:p>
        </w:tc>
      </w:tr>
      <w:tr>
        <w:tc>
          <w:tcPr>
            <w:tcW w:type="dxa" w:w="6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43C7F4"/>
                <w:sz w:val="16"/>
              </w:rPr>
              <w:t>13</w:t>
            </w:r>
          </w:p>
        </w:tc>
        <w:tc>
          <w:tcPr>
            <w:tcW w:type="dxa" w:w="89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0C1D2C"/>
                <w:sz w:val="18"/>
              </w:rPr>
              <w:t>Go-to-Market</w:t>
            </w:r>
          </w:p>
        </w:tc>
      </w:tr>
      <w:tr>
        <w:tc>
          <w:tcPr>
            <w:tcW w:type="dxa" w:w="6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43C7F4"/>
                <w:sz w:val="16"/>
              </w:rPr>
              <w:t>14</w:t>
            </w:r>
          </w:p>
        </w:tc>
        <w:tc>
          <w:tcPr>
            <w:tcW w:type="dxa" w:w="89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0C1D2C"/>
                <w:sz w:val="18"/>
              </w:rPr>
              <w:t>Конкуренция и защитимость</w:t>
            </w:r>
          </w:p>
        </w:tc>
      </w:tr>
      <w:tr>
        <w:tc>
          <w:tcPr>
            <w:tcW w:type="dxa" w:w="6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43C7F4"/>
                <w:sz w:val="16"/>
              </w:rPr>
              <w:t>15</w:t>
            </w:r>
          </w:p>
        </w:tc>
        <w:tc>
          <w:tcPr>
            <w:tcW w:type="dxa" w:w="89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0C1D2C"/>
                <w:sz w:val="18"/>
              </w:rPr>
              <w:t>Roadmap</w:t>
            </w:r>
          </w:p>
        </w:tc>
      </w:tr>
      <w:tr>
        <w:tc>
          <w:tcPr>
            <w:tcW w:type="dxa" w:w="6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43C7F4"/>
                <w:sz w:val="16"/>
              </w:rPr>
              <w:t>16</w:t>
            </w:r>
          </w:p>
        </w:tc>
        <w:tc>
          <w:tcPr>
            <w:tcW w:type="dxa" w:w="89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0C1D2C"/>
                <w:sz w:val="18"/>
              </w:rPr>
              <w:t>Investment Ask</w:t>
            </w:r>
          </w:p>
        </w:tc>
      </w:tr>
      <w:tr>
        <w:tc>
          <w:tcPr>
            <w:tcW w:type="dxa" w:w="6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43C7F4"/>
                <w:sz w:val="16"/>
              </w:rPr>
              <w:t>17</w:t>
            </w:r>
          </w:p>
        </w:tc>
        <w:tc>
          <w:tcPr>
            <w:tcW w:type="dxa" w:w="89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0C1D2C"/>
                <w:sz w:val="18"/>
              </w:rPr>
              <w:t>Риски и дисциплина claims</w:t>
            </w:r>
          </w:p>
        </w:tc>
      </w:tr>
      <w:tr>
        <w:tc>
          <w:tcPr>
            <w:tcW w:type="dxa" w:w="6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43C7F4"/>
                <w:sz w:val="16"/>
              </w:rPr>
              <w:t>18</w:t>
            </w:r>
          </w:p>
        </w:tc>
        <w:tc>
          <w:tcPr>
            <w:tcW w:type="dxa" w:w="895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0C1D2C"/>
                <w:sz w:val="18"/>
              </w:rPr>
              <w:t>Источники</w:t>
            </w:r>
          </w:p>
        </w:tc>
      </w:tr>
    </w:tbl>
    <w:p>
      <w:r>
        <w:br w:type="page"/>
      </w:r>
    </w:p>
    <w:p>
      <w:pPr>
        <w:pStyle w:val="A3OKicker"/>
      </w:pPr>
      <w:r>
        <w:t>EXECUTIVE THESIS</w:t>
      </w:r>
    </w:p>
    <w:p>
      <w:pPr>
        <w:pStyle w:val="Heading1"/>
      </w:pPr>
      <w:r>
        <w:t>1. Исполнительный тезис</w:t>
      </w:r>
    </w:p>
    <w:p>
      <w:pPr>
        <w:keepLines w:val="0"/>
      </w:pPr>
      <w:r>
        <w:rPr>
          <w:i w:val="0"/>
        </w:rPr>
        <w:t>Мир переходит от отдельных автоматизированных устройств к автономным экосистемам. Роботизированные заводы, беспилотная логистика, медицинские ассистенты, инспекционные платформы и распределённые системы безопасности уже способны воспринимать среду и выполнять задачи. Однако они остаются разобщёнными по производителям, протоколам, моделям идентичности, полномочиям и доказательствам.</w:t>
      </w:r>
    </w:p>
    <w:p>
      <w:pPr>
        <w:keepLines w:val="0"/>
      </w:pPr>
      <w:r>
        <w:rPr>
          <w:i w:val="0"/>
        </w:rPr>
        <w:t>A³O создаёт универсальный доверенный слой для таких экосистем. Он позволяет разнородным автономным узлам обнаруживать друг друга, обмениваться проверяемым состоянием, согласовывать задачи, действовать в рамках машинно-исполняемых политик и формировать непрерывную цепочку эксплуатационных доказательств.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8"/>
        <w:gridCol w:w="9468"/>
      </w:tblGrid>
      <w:tr>
        <w:tc>
          <w:tcPr>
            <w:tcW w:type="dxa" w:w="4933"/>
            <w:shd w:fill="39E6A1"/>
          </w:tcPr>
          <w:p/>
        </w:tc>
        <w:tc>
          <w:tcPr>
            <w:tcW w:type="dxa" w:w="4933"/>
            <w:shd w:fill="F4F8FA"/>
            <w:tcMar>
              <w:top w:w="150" w:type="dxa"/>
              <w:start w:w="180" w:type="dxa"/>
              <w:bottom w:w="150" w:type="dxa"/>
              <w:end w:w="180" w:type="dxa"/>
            </w:tcMar>
          </w:tcPr>
          <w:p>
            <w:r/>
            <w:r>
              <w:rPr>
                <w:rFonts w:ascii="Liberation Mono" w:hAnsi="Liberation Mono"/>
                <w:b/>
                <w:color w:val="39E6A1"/>
                <w:sz w:val="16"/>
              </w:rPr>
              <w:t xml:space="preserve">КАНОНИЧЕСКОЕ ПОЗИЦИОНИРОВАНИЕ  </w:t>
            </w:r>
            <w:r>
              <w:rPr>
                <w:rFonts w:ascii="Liberation Sans" w:hAnsi="Liberation Sans"/>
                <w:color w:val="172431"/>
                <w:sz w:val="18"/>
              </w:rPr>
              <w:t>A³O — не отдельный робот, sensor platform, fleet manager или C2. Это vendor-neutral operating fabric над ними и между ними: identity, data contracts, swarm coordination, policy-controlled autonomy и evidence by design.</w:t>
            </w:r>
          </w:p>
        </w:tc>
      </w:tr>
    </w:tbl>
    <w:p>
      <w:pPr>
        <w:spacing w:after="0"/>
      </w:pPr>
    </w:p>
    <w:p>
      <w:pPr>
        <w:keepLines w:val="0"/>
      </w:pPr>
      <w:r>
        <w:rPr>
          <w:i w:val="0"/>
        </w:rPr>
        <w:t>DroneDefender сохраняется как первый коммерческий reference implementation и профиль Security &amp; Defence. Он доказывает governed mission loop, но больше не определяет всю категорию компании.</w:t>
      </w:r>
    </w:p>
    <w:p>
      <w:pPr>
        <w:pStyle w:val="Heading1"/>
      </w:pPr>
      <w:r>
        <w:t>2. Проблема автономных экосистем</w:t>
      </w:r>
    </w:p>
    <w:p>
      <w:pPr>
        <w:keepLines w:val="0"/>
      </w:pPr>
      <w:r>
        <w:rPr>
          <w:i w:val="0"/>
        </w:rPr>
        <w:t>Следующее ограничение автономии — не только восприятие или мобильность. Критическим становится доверие: кто является участником миссии, какие данные заслуживают доверия, кто вправе делегировать действие, как система ведёт себя при потере связи и чем подтверждается результат.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3515"/>
        <w:gridCol w:w="3515"/>
      </w:tblGrid>
      <w:tr>
        <w:trPr>
          <w:tblHeader w:val="true"/>
        </w:trPr>
        <w:tc>
          <w:tcPr>
            <w:tcW w:type="dxa" w:w="328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Проблема</w:t>
            </w:r>
          </w:p>
        </w:tc>
        <w:tc>
          <w:tcPr>
            <w:tcW w:type="dxa" w:w="328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Как проявляется</w:t>
            </w:r>
          </w:p>
        </w:tc>
        <w:tc>
          <w:tcPr>
            <w:tcW w:type="dxa" w:w="328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Ответ A³O</w:t>
            </w:r>
          </w:p>
        </w:tc>
      </w:tr>
      <w:tr>
        <w:tc>
          <w:tcPr>
            <w:tcW w:type="dxa" w:w="238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Vendor fragmentation</w:t>
            </w:r>
          </w:p>
        </w:tc>
        <w:tc>
          <w:tcPr>
            <w:tcW w:type="dxa" w:w="351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Роботы и платформы используют закрытые API, разные state models и несовместимые lifecycle semantics.</w:t>
            </w:r>
          </w:p>
        </w:tc>
        <w:tc>
          <w:tcPr>
            <w:tcW w:type="dxa" w:w="351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Canonical contracts, ontology mapping и profile SDK.</w:t>
            </w:r>
          </w:p>
        </w:tc>
      </w:tr>
      <w:tr>
        <w:tc>
          <w:tcPr>
            <w:tcW w:type="dxa" w:w="238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Нет общей идентичности</w:t>
            </w:r>
          </w:p>
        </w:tc>
        <w:tc>
          <w:tcPr>
            <w:tcW w:type="dxa" w:w="351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Устройство, workload, оператор и организация существуют в отдельных IAM-контурах.</w:t>
            </w:r>
          </w:p>
        </w:tc>
        <w:tc>
          <w:tcPr>
            <w:tcW w:type="dxa" w:w="351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Node/workload/human identity, attestation и trust domain federation.</w:t>
            </w:r>
          </w:p>
        </w:tc>
      </w:tr>
      <w:tr>
        <w:tc>
          <w:tcPr>
            <w:tcW w:type="dxa" w:w="238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Central dependency</w:t>
            </w:r>
          </w:p>
        </w:tc>
        <w:tc>
          <w:tcPr>
            <w:tcW w:type="dxa" w:w="351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Потеря cloud/C2 приводит к остановке или небезопасной импровизации.</w:t>
            </w:r>
          </w:p>
        </w:tc>
        <w:tc>
          <w:tcPr>
            <w:tcW w:type="dxa" w:w="351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Edge runtime, delegated authority, P2P mesh и safe partition behavior.</w:t>
            </w:r>
          </w:p>
        </w:tc>
      </w:tr>
      <w:tr>
        <w:tc>
          <w:tcPr>
            <w:tcW w:type="dxa" w:w="238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Непрозрачная автономия</w:t>
            </w:r>
          </w:p>
        </w:tc>
        <w:tc>
          <w:tcPr>
            <w:tcW w:type="dxa" w:w="351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AI/optimizer выбирает действие без ясного policy/safety context.</w:t>
            </w:r>
          </w:p>
        </w:tc>
        <w:tc>
          <w:tcPr>
            <w:tcW w:type="dxa" w:w="351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PolicyDecision, explanation, bounded mandate и local safety kernel.</w:t>
            </w:r>
          </w:p>
        </w:tc>
      </w:tr>
      <w:tr>
        <w:tc>
          <w:tcPr>
            <w:tcW w:type="dxa" w:w="238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Нет доказуемости</w:t>
            </w:r>
          </w:p>
        </w:tc>
        <w:tc>
          <w:tcPr>
            <w:tcW w:type="dxa" w:w="351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Невозможно восстановить причинную цепочку и фактический outcome.</w:t>
            </w:r>
          </w:p>
        </w:tc>
        <w:tc>
          <w:tcPr>
            <w:tcW w:type="dxa" w:w="351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Evidence graph, signed fragments, replay и assurance package.</w:t>
            </w:r>
          </w:p>
        </w:tc>
      </w:tr>
      <w:tr>
        <w:tc>
          <w:tcPr>
            <w:tcW w:type="dxa" w:w="238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Сложная сертификация</w:t>
            </w:r>
          </w:p>
        </w:tc>
        <w:tc>
          <w:tcPr>
            <w:tcW w:type="dxa" w:w="351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Система собирается из компонентов разных поставщиков и версий.</w:t>
            </w:r>
          </w:p>
        </w:tc>
        <w:tc>
          <w:tcPr>
            <w:tcW w:type="dxa" w:w="351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Conformance profiles, machine-readable schemas и test vectors.</w:t>
            </w:r>
          </w:p>
        </w:tc>
      </w:tr>
    </w:tbl>
    <w:p>
      <w:pPr>
        <w:spacing w:after="20"/>
      </w:pPr>
    </w:p>
    <w:p>
      <w:pPr>
        <w:pStyle w:val="Heading1"/>
      </w:pPr>
      <w:r>
        <w:t>3. Новая инфраструктурная категория</w:t>
      </w:r>
    </w:p>
    <w:p>
      <w:pPr>
        <w:keepLines w:val="0"/>
      </w:pPr>
      <w:r>
        <w:rPr>
          <w:i w:val="0"/>
        </w:rPr>
        <w:t>A³O формирует категорию Universal Trusted Framework for Autonomous Ecosystems. Она находится между autonomy stacks конкретных машин и бизнес/mission-системами заказчика. A³O не заменяет ROS, SCADA, MES, fleet management, C4ISR, digital twin или AI orchestration; он объединяет их через общие правила доверия, координации и assurance.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8"/>
        <w:gridCol w:w="9468"/>
      </w:tblGrid>
      <w:tr>
        <w:tc>
          <w:tcPr>
            <w:tcW w:type="dxa" w:w="4933"/>
            <w:shd w:fill="43C7F4"/>
          </w:tcPr>
          <w:p/>
        </w:tc>
        <w:tc>
          <w:tcPr>
            <w:tcW w:type="dxa" w:w="4933"/>
            <w:shd w:fill="F4F8FA"/>
            <w:tcMar>
              <w:top w:w="150" w:type="dxa"/>
              <w:start w:w="180" w:type="dxa"/>
              <w:bottom w:w="150" w:type="dxa"/>
              <w:end w:w="180" w:type="dxa"/>
            </w:tcMar>
          </w:tcPr>
          <w:p>
            <w:r/>
            <w:r>
              <w:rPr>
                <w:rFonts w:ascii="Liberation Mono" w:hAnsi="Liberation Mono"/>
                <w:b/>
                <w:color w:val="43C7F4"/>
                <w:sz w:val="16"/>
              </w:rPr>
              <w:t xml:space="preserve">USP  </w:t>
            </w:r>
            <w:r>
              <w:rPr>
                <w:rFonts w:ascii="Liberation Sans" w:hAnsi="Liberation Sans"/>
                <w:color w:val="172431"/>
                <w:sz w:val="18"/>
              </w:rPr>
              <w:t>One trusted coordination standard for heterogeneous autonomous systems: vendor-neutral identity, universal contracts, distributed edge/swarm operation, policy-controlled autonomy and verifiable outcomes.</w:t>
            </w:r>
          </w:p>
        </w:tc>
      </w:tr>
    </w:tbl>
    <w:p>
      <w:pPr>
        <w:spacing w:after="0"/>
      </w:pPr>
    </w:p>
    <w:p>
      <w:pPr>
        <w:pStyle w:val="ListBullet"/>
        <w:spacing w:after="40"/>
      </w:pPr>
      <w:r>
        <w:t>Connect any machine — подключение через adapters и semantic profile, а не переписывание autonomy stack.</w:t>
      </w:r>
    </w:p>
    <w:p>
      <w:pPr>
        <w:pStyle w:val="ListBullet"/>
        <w:spacing w:after="40"/>
      </w:pPr>
      <w:r>
        <w:t>Coordinate across vendors — единая модель mission, task, capability, state и intent.</w:t>
      </w:r>
    </w:p>
    <w:p>
      <w:pPr>
        <w:pStyle w:val="ListBullet"/>
        <w:spacing w:after="40"/>
      </w:pPr>
      <w:r>
        <w:t>Govern every action — полномочия отделены от алгоритма оптимизации и ограничены scope/TTL/ODD.</w:t>
      </w:r>
    </w:p>
    <w:p>
      <w:pPr>
        <w:pStyle w:val="ListBullet"/>
        <w:spacing w:after="40"/>
      </w:pPr>
      <w:r>
        <w:t>Operate through disruption — локальный runtime и P2P mesh продолжают работу в разрешённых границах.</w:t>
      </w:r>
    </w:p>
    <w:p>
      <w:pPr>
        <w:pStyle w:val="ListBullet"/>
        <w:spacing w:after="40"/>
      </w:pPr>
      <w:r>
        <w:t>Prove what happened — evidence формируется во время действия и позволяет replay/verification.</w:t>
      </w:r>
    </w:p>
    <w:p>
      <w:pPr>
        <w:pStyle w:val="Heading1"/>
      </w:pPr>
      <w:r>
        <w:t>4. Универсальный operational loop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268"/>
        <w:gridCol w:w="7143"/>
      </w:tblGrid>
      <w:tr>
        <w:trPr>
          <w:tblHeader w:val="true"/>
        </w:trPr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Фаза</w:t>
            </w:r>
          </w:p>
        </w:tc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Назначение</w:t>
            </w:r>
          </w:p>
        </w:tc>
      </w:tr>
      <w:tr>
        <w:tc>
          <w:tcPr>
            <w:tcW w:type="dxa" w:w="226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6"/>
              </w:rPr>
              <w:t>OBSERVE</w:t>
            </w:r>
          </w:p>
        </w:tc>
        <w:tc>
          <w:tcPr>
            <w:tcW w:type="dxa" w:w="714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6"/>
              </w:rPr>
              <w:t>Получить telemetry и context.</w:t>
            </w:r>
          </w:p>
        </w:tc>
      </w:tr>
      <w:tr>
        <w:tc>
          <w:tcPr>
            <w:tcW w:type="dxa" w:w="226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6"/>
              </w:rPr>
              <w:t>NORMALIZE</w:t>
            </w:r>
          </w:p>
        </w:tc>
        <w:tc>
          <w:tcPr>
            <w:tcW w:type="dxa" w:w="714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6"/>
              </w:rPr>
              <w:t>Привести данные к общим contracts.</w:t>
            </w:r>
          </w:p>
        </w:tc>
      </w:tr>
      <w:tr>
        <w:tc>
          <w:tcPr>
            <w:tcW w:type="dxa" w:w="226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6"/>
              </w:rPr>
              <w:t>UNDERSTAND</w:t>
            </w:r>
          </w:p>
        </w:tc>
        <w:tc>
          <w:tcPr>
            <w:tcW w:type="dxa" w:w="714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6"/>
              </w:rPr>
              <w:t>Сформировать state и uncertainty.</w:t>
            </w:r>
          </w:p>
        </w:tc>
      </w:tr>
      <w:tr>
        <w:tc>
          <w:tcPr>
            <w:tcW w:type="dxa" w:w="226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6"/>
              </w:rPr>
              <w:t>COORDINATE</w:t>
            </w:r>
          </w:p>
        </w:tc>
        <w:tc>
          <w:tcPr>
            <w:tcW w:type="dxa" w:w="714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6"/>
              </w:rPr>
              <w:t>Обменяться state и intent.</w:t>
            </w:r>
          </w:p>
        </w:tc>
      </w:tr>
      <w:tr>
        <w:tc>
          <w:tcPr>
            <w:tcW w:type="dxa" w:w="226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6"/>
              </w:rPr>
              <w:t>PLAN</w:t>
            </w:r>
          </w:p>
        </w:tc>
        <w:tc>
          <w:tcPr>
            <w:tcW w:type="dxa" w:w="714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6"/>
              </w:rPr>
              <w:t>Построить mission/workflow.</w:t>
            </w:r>
          </w:p>
        </w:tc>
      </w:tr>
      <w:tr>
        <w:tc>
          <w:tcPr>
            <w:tcW w:type="dxa" w:w="226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6"/>
              </w:rPr>
              <w:t>AUTHORIZE</w:t>
            </w:r>
          </w:p>
        </w:tc>
        <w:tc>
          <w:tcPr>
            <w:tcW w:type="dxa" w:w="714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6"/>
              </w:rPr>
              <w:t>Применить policy, mandate и safety.</w:t>
            </w:r>
          </w:p>
        </w:tc>
      </w:tr>
      <w:tr>
        <w:tc>
          <w:tcPr>
            <w:tcW w:type="dxa" w:w="226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6"/>
              </w:rPr>
              <w:t>EXECUTE</w:t>
            </w:r>
          </w:p>
        </w:tc>
        <w:tc>
          <w:tcPr>
            <w:tcW w:type="dxa" w:w="714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6"/>
              </w:rPr>
              <w:t>Выполнить bounded action.</w:t>
            </w:r>
          </w:p>
        </w:tc>
      </w:tr>
      <w:tr>
        <w:tc>
          <w:tcPr>
            <w:tcW w:type="dxa" w:w="226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6"/>
              </w:rPr>
              <w:t>VERIFY</w:t>
            </w:r>
          </w:p>
        </w:tc>
        <w:tc>
          <w:tcPr>
            <w:tcW w:type="dxa" w:w="714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6"/>
              </w:rPr>
              <w:t>Подтвердить outcome.</w:t>
            </w:r>
          </w:p>
        </w:tc>
      </w:tr>
      <w:tr>
        <w:tc>
          <w:tcPr>
            <w:tcW w:type="dxa" w:w="226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6"/>
              </w:rPr>
              <w:t>PROVE</w:t>
            </w:r>
          </w:p>
        </w:tc>
        <w:tc>
          <w:tcPr>
            <w:tcW w:type="dxa" w:w="714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6"/>
              </w:rPr>
              <w:t>Сформировать evidence.</w:t>
            </w:r>
          </w:p>
        </w:tc>
      </w:tr>
      <w:tr>
        <w:tc>
          <w:tcPr>
            <w:tcW w:type="dxa" w:w="226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6"/>
              </w:rPr>
              <w:t>LEARN</w:t>
            </w:r>
          </w:p>
        </w:tc>
        <w:tc>
          <w:tcPr>
            <w:tcW w:type="dxa" w:w="714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6"/>
              </w:rPr>
              <w:t>Подготовить governed improvement.</w:t>
            </w:r>
          </w:p>
        </w:tc>
      </w:tr>
    </w:tbl>
    <w:p>
      <w:pPr>
        <w:spacing w:after="20"/>
      </w:pPr>
    </w:p>
    <w:p>
      <w:pPr>
        <w:keepLines w:val="0"/>
      </w:pPr>
      <w:r>
        <w:rPr>
          <w:i w:val="0"/>
        </w:rPr>
        <w:t>Security-профиль Detect → Fuse → Classify → Authorize → Respond → Prove является частным отображением этого цикла. В производстве Execute означает технологическую операцию; в логистике — транспортировку или hand-off; в медицине — помощь или доставку; в мониторинге — сбор и подтверждение данных.</w:t>
      </w:r>
    </w:p>
    <w:p>
      <w:pPr>
        <w:pStyle w:val="Heading1"/>
      </w:pPr>
      <w:r>
        <w:t>5. Universal Reference Architecture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061"/>
        <w:gridCol w:w="6350"/>
      </w:tblGrid>
      <w:tr>
        <w:trPr>
          <w:tblHeader w:val="true"/>
        </w:trPr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Плоскость</w:t>
            </w:r>
          </w:p>
        </w:tc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Ответственность</w:t>
            </w:r>
          </w:p>
        </w:tc>
      </w:tr>
      <w:tr>
        <w:tc>
          <w:tcPr>
            <w:tcW w:type="dxa" w:w="30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Trust &amp; Identity Plane</w:t>
            </w:r>
          </w:p>
        </w:tc>
        <w:tc>
          <w:tcPr>
            <w:tcW w:type="dxa" w:w="63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Идентичность устройств, workloads, людей и организаций; attestation, trusted time, credentials и trust state.</w:t>
            </w:r>
          </w:p>
        </w:tc>
      </w:tr>
      <w:tr>
        <w:tc>
          <w:tcPr>
            <w:tcW w:type="dxa" w:w="30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Data &amp; Perception Plane</w:t>
            </w:r>
          </w:p>
        </w:tc>
        <w:tc>
          <w:tcPr>
            <w:tcW w:type="dxa" w:w="63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Vendor adapters, универсальные contracts, validation, quality, provenance, time/space normalization.</w:t>
            </w:r>
          </w:p>
        </w:tc>
      </w:tr>
      <w:tr>
        <w:tc>
          <w:tcPr>
            <w:tcW w:type="dxa" w:w="30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State &amp; Knowledge Plane</w:t>
            </w:r>
          </w:p>
        </w:tc>
        <w:tc>
          <w:tcPr>
            <w:tcW w:type="dxa" w:w="63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EntityState, process state, world model, operational knowledge, twin synchronization и uncertainty.</w:t>
            </w:r>
          </w:p>
        </w:tc>
      </w:tr>
      <w:tr>
        <w:tc>
          <w:tcPr>
            <w:tcW w:type="dxa" w:w="30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Swarm &amp; Coordination Plane</w:t>
            </w:r>
          </w:p>
        </w:tc>
        <w:tc>
          <w:tcPr>
            <w:tcW w:type="dxa" w:w="63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P2P discovery, capability exchange, task allocation, mesh state, partition operation и reconciliation.</w:t>
            </w:r>
          </w:p>
        </w:tc>
      </w:tr>
      <w:tr>
        <w:tc>
          <w:tcPr>
            <w:tcW w:type="dxa" w:w="30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Decision &amp; Policy Plane</w:t>
            </w:r>
          </w:p>
        </w:tc>
        <w:tc>
          <w:tcPr>
            <w:tcW w:type="dxa" w:w="63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Mission planning, AI/cognitive services, policy evaluation, delegated authority и human governance.</w:t>
            </w:r>
          </w:p>
        </w:tc>
      </w:tr>
      <w:tr>
        <w:tc>
          <w:tcPr>
            <w:tcW w:type="dxa" w:w="30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Action &amp; Control Plane</w:t>
            </w:r>
          </w:p>
        </w:tc>
        <w:tc>
          <w:tcPr>
            <w:tcW w:type="dxa" w:w="63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Bounded commands, safety interlocks, execution supervision, feedback и outcome verification.</w:t>
            </w:r>
          </w:p>
        </w:tc>
      </w:tr>
      <w:tr>
        <w:tc>
          <w:tcPr>
            <w:tcW w:type="dxa" w:w="30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Evidence &amp; Assurance Plane</w:t>
            </w:r>
          </w:p>
        </w:tc>
        <w:tc>
          <w:tcPr>
            <w:tcW w:type="dxa" w:w="63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Append-only records, signatures, evidence graph, replay, verification, audit и certification packages.</w:t>
            </w:r>
          </w:p>
        </w:tc>
      </w:tr>
      <w:tr>
        <w:tc>
          <w:tcPr>
            <w:tcW w:type="dxa" w:w="306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Experience &amp; Integration Plane</w:t>
            </w:r>
          </w:p>
        </w:tc>
        <w:tc>
          <w:tcPr>
            <w:tcW w:type="dxa" w:w="635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Operator/engineer UX, SDK, partner portal, API gateway, external enterprise/mission systems.</w:t>
            </w:r>
          </w:p>
        </w:tc>
      </w:tr>
    </w:tbl>
    <w:p>
      <w:pPr>
        <w:spacing w:after="2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8"/>
        <w:gridCol w:w="9468"/>
      </w:tblGrid>
      <w:tr>
        <w:tc>
          <w:tcPr>
            <w:tcW w:type="dxa" w:w="4933"/>
            <w:shd w:fill="FFB84D"/>
          </w:tcPr>
          <w:p/>
        </w:tc>
        <w:tc>
          <w:tcPr>
            <w:tcW w:type="dxa" w:w="4933"/>
            <w:shd w:fill="F4F8FA"/>
            <w:tcMar>
              <w:top w:w="150" w:type="dxa"/>
              <w:start w:w="180" w:type="dxa"/>
              <w:bottom w:w="150" w:type="dxa"/>
              <w:end w:w="180" w:type="dxa"/>
            </w:tcMar>
          </w:tcPr>
          <w:p>
            <w:r/>
            <w:r>
              <w:rPr>
                <w:rFonts w:ascii="Liberation Mono" w:hAnsi="Liberation Mono"/>
                <w:b/>
                <w:color w:val="FFB84D"/>
                <w:sz w:val="16"/>
              </w:rPr>
              <w:t xml:space="preserve">АРХИТЕКТУРНАЯ ГРАНИЦА  </w:t>
            </w:r>
            <w:r>
              <w:rPr>
                <w:rFonts w:ascii="Liberation Sans" w:hAnsi="Liberation Sans"/>
                <w:color w:val="172431"/>
                <w:sz w:val="18"/>
              </w:rPr>
              <w:t>AI или UI не имеют прямого права управлять физическим ресурсом. Action проходит через Policy/Safety и Execution Supervisor; authoritative state хранится в типизированных services, а не в визуальной сцене.</w:t>
            </w:r>
          </w:p>
        </w:tc>
      </w:tr>
    </w:tbl>
    <w:p>
      <w:pPr>
        <w:spacing w:after="0"/>
      </w:pPr>
    </w:p>
    <w:p>
      <w:pPr>
        <w:pStyle w:val="Heading1"/>
      </w:pPr>
      <w:r>
        <w:t>6. Распределённый рой и edge autonomy</w:t>
      </w:r>
    </w:p>
    <w:p>
      <w:pPr>
        <w:keepLines w:val="0"/>
      </w:pPr>
      <w:r>
        <w:rPr>
          <w:i w:val="0"/>
        </w:rPr>
        <w:t>A³O не требует, чтобы каждое решение проходило через центральный сервер. Полномочия могут быть делегированы authenticated edge nodes внутри ограниченного mission/policy envelope. Это необходимо для логистики, remote inspection, disaster response и contested operations.</w:t>
      </w:r>
    </w:p>
    <w:p>
      <w:pPr>
        <w:pStyle w:val="ListBullet"/>
        <w:spacing w:after="40"/>
      </w:pPr>
      <w:r>
        <w:t>Peer discovery и взаимная проверка identity/attestation.</w:t>
      </w:r>
    </w:p>
    <w:p>
      <w:pPr>
        <w:pStyle w:val="ListBullet"/>
        <w:spacing w:after="40"/>
      </w:pPr>
      <w:r>
        <w:t>Capability advertisement: sensing, payload, mobility, compute, energy, communication и safety limits.</w:t>
      </w:r>
    </w:p>
    <w:p>
      <w:pPr>
        <w:pStyle w:val="ListBullet"/>
        <w:spacing w:after="40"/>
      </w:pPr>
      <w:r>
        <w:t>Обмен state delta, intent и evidence references вместо неконтролируемой репликации всех данных.</w:t>
      </w:r>
    </w:p>
    <w:p>
      <w:pPr>
        <w:pStyle w:val="ListBullet"/>
        <w:spacing w:after="40"/>
      </w:pPr>
      <w:r>
        <w:t>Central, distributed auction, priority и redundancy task-allocation modes.</w:t>
      </w:r>
    </w:p>
    <w:p>
      <w:pPr>
        <w:pStyle w:val="ListBullet"/>
        <w:spacing w:after="40"/>
      </w:pPr>
      <w:r>
        <w:t>Leader-based и leaderless coordination в зависимости от profile и hazard analysis.</w:t>
      </w:r>
    </w:p>
    <w:p>
      <w:pPr>
        <w:pStyle w:val="ListBullet"/>
        <w:spacing w:after="40"/>
      </w:pPr>
      <w:r>
        <w:t>Store-and-forward, partition awareness и reconciliation после восстановления связи.</w:t>
      </w:r>
    </w:p>
    <w:p>
      <w:pPr>
        <w:pStyle w:val="ListBullet"/>
        <w:spacing w:after="40"/>
      </w:pPr>
      <w:r>
        <w:t>Local safety kernel имеет право отклонить небезопасную команду независимо от planner/leader.</w:t>
      </w:r>
    </w:p>
    <w:p>
      <w:pPr>
        <w:pStyle w:val="ListBullet"/>
        <w:spacing w:after="40"/>
      </w:pPr>
      <w:r>
        <w:t>Evidence fragments объединяются без потери локальной provenance.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474"/>
        <w:gridCol w:w="7937"/>
      </w:tblGrid>
      <w:tr>
        <w:trPr>
          <w:tblHeader w:val="true"/>
        </w:trPr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ID</w:t>
            </w:r>
          </w:p>
        </w:tc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Нормативное требование</w:t>
            </w:r>
          </w:p>
        </w:tc>
      </w:tr>
      <w:tr>
        <w:tc>
          <w:tcPr>
            <w:tcW w:type="dxa" w:w="147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SWM-001</w:t>
            </w:r>
          </w:p>
        </w:tc>
        <w:tc>
          <w:tcPr>
            <w:tcW w:type="dxa" w:w="793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Every swarm node SHALL possess a verifiable identity.</w:t>
            </w:r>
          </w:p>
        </w:tc>
      </w:tr>
      <w:tr>
        <w:tc>
          <w:tcPr>
            <w:tcW w:type="dxa" w:w="147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SWM-002</w:t>
            </w:r>
          </w:p>
        </w:tc>
        <w:tc>
          <w:tcPr>
            <w:tcW w:type="dxa" w:w="793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Every peer message SHALL identify mission, policy and schema context.</w:t>
            </w:r>
          </w:p>
        </w:tc>
      </w:tr>
      <w:tr>
        <w:tc>
          <w:tcPr>
            <w:tcW w:type="dxa" w:w="147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SWM-003</w:t>
            </w:r>
          </w:p>
        </w:tc>
        <w:tc>
          <w:tcPr>
            <w:tcW w:type="dxa" w:w="793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Peer loss SHALL NOT automatically expand the authority of remaining nodes.</w:t>
            </w:r>
          </w:p>
        </w:tc>
      </w:tr>
      <w:tr>
        <w:tc>
          <w:tcPr>
            <w:tcW w:type="dxa" w:w="147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SWM-004</w:t>
            </w:r>
          </w:p>
        </w:tc>
        <w:tc>
          <w:tcPr>
            <w:tcW w:type="dxa" w:w="793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Local safety constraints SHALL override mission optimization.</w:t>
            </w:r>
          </w:p>
        </w:tc>
      </w:tr>
      <w:tr>
        <w:tc>
          <w:tcPr>
            <w:tcW w:type="dxa" w:w="147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SWM-005</w:t>
            </w:r>
          </w:p>
        </w:tc>
        <w:tc>
          <w:tcPr>
            <w:tcW w:type="dxa" w:w="793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Task reassignment SHALL preserve intent, ownership and evidence lineage.</w:t>
            </w:r>
          </w:p>
        </w:tc>
      </w:tr>
      <w:tr>
        <w:tc>
          <w:tcPr>
            <w:tcW w:type="dxa" w:w="147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SWM-006</w:t>
            </w:r>
          </w:p>
        </w:tc>
        <w:tc>
          <w:tcPr>
            <w:tcW w:type="dxa" w:w="793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Partitioned operation SHALL use time-bounded delegated authority.</w:t>
            </w:r>
          </w:p>
        </w:tc>
      </w:tr>
      <w:tr>
        <w:tc>
          <w:tcPr>
            <w:tcW w:type="dxa" w:w="147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SWM-007</w:t>
            </w:r>
          </w:p>
        </w:tc>
        <w:tc>
          <w:tcPr>
            <w:tcW w:type="dxa" w:w="793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Conflicting state SHALL be retained and reconciled, not silently overwritten.</w:t>
            </w:r>
          </w:p>
        </w:tc>
      </w:tr>
      <w:tr>
        <w:tc>
          <w:tcPr>
            <w:tcW w:type="dxa" w:w="147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SWM-008</w:t>
            </w:r>
          </w:p>
        </w:tc>
        <w:tc>
          <w:tcPr>
            <w:tcW w:type="dxa" w:w="793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Collective AI output SHALL remain traceable to participating nodes and evidence.</w:t>
            </w:r>
          </w:p>
        </w:tc>
      </w:tr>
      <w:tr>
        <w:tc>
          <w:tcPr>
            <w:tcW w:type="dxa" w:w="147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SWM-009</w:t>
            </w:r>
          </w:p>
        </w:tc>
        <w:tc>
          <w:tcPr>
            <w:tcW w:type="dxa" w:w="793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A compromised node SHALL be isolatable without collapsing the ecosystem.</w:t>
            </w:r>
          </w:p>
        </w:tc>
      </w:tr>
      <w:tr>
        <w:tc>
          <w:tcPr>
            <w:tcW w:type="dxa" w:w="147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SWM-010</w:t>
            </w:r>
          </w:p>
        </w:tc>
        <w:tc>
          <w:tcPr>
            <w:tcW w:type="dxa" w:w="7937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Swarm reconfiguration SHALL generate an auditable topology event.</w:t>
            </w:r>
          </w:p>
        </w:tc>
      </w:tr>
    </w:tbl>
    <w:p>
      <w:pPr>
        <w:spacing w:after="20"/>
      </w:pPr>
    </w:p>
    <w:p>
      <w:pPr>
        <w:pStyle w:val="Heading1"/>
      </w:pPr>
      <w:r>
        <w:t>7. Данные, состояние и knowledge architecture</w:t>
      </w:r>
    </w:p>
    <w:p>
      <w:pPr>
        <w:keepLines w:val="0"/>
      </w:pPr>
      <w:r>
        <w:rPr>
          <w:i w:val="0"/>
        </w:rPr>
        <w:t>Universal pipeline принимает не только radar/RF/EO-IR, но любые operational modalities: position, velocity, vibration, temperature, pressure, energy, image, LiDAR, sonar, process state, material state, biometric, navigation, manual input и enterprise events.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54"/>
        <w:gridCol w:w="1814"/>
        <w:gridCol w:w="5102"/>
        <w:gridCol w:w="2041"/>
      </w:tblGrid>
      <w:tr>
        <w:trPr>
          <w:tblHeader w:val="true"/>
        </w:trPr>
        <w:tc>
          <w:tcPr>
            <w:tcW w:type="dxa" w:w="246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#</w:t>
            </w:r>
          </w:p>
        </w:tc>
        <w:tc>
          <w:tcPr>
            <w:tcW w:type="dxa" w:w="246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Этап</w:t>
            </w:r>
          </w:p>
        </w:tc>
        <w:tc>
          <w:tcPr>
            <w:tcW w:type="dxa" w:w="246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Функция</w:t>
            </w:r>
          </w:p>
        </w:tc>
        <w:tc>
          <w:tcPr>
            <w:tcW w:type="dxa" w:w="246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Выход</w:t>
            </w:r>
          </w:p>
        </w:tc>
      </w:tr>
      <w:tr>
        <w:tc>
          <w:tcPr>
            <w:tcW w:type="dxa" w:w="45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0</w:t>
            </w:r>
          </w:p>
        </w:tc>
        <w:tc>
          <w:tcPr>
            <w:tcW w:type="dxa" w:w="181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Trust Bootstrap</w:t>
            </w:r>
          </w:p>
        </w:tc>
        <w:tc>
          <w:tcPr>
            <w:tcW w:type="dxa" w:w="510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Проверить node identity, runtime/firmware attestation, trusted time, policy и mission context.</w:t>
            </w:r>
          </w:p>
        </w:tc>
        <w:tc>
          <w:tcPr>
            <w:tcW w:type="dxa" w:w="204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NodeIdentityContext</w:t>
            </w:r>
          </w:p>
        </w:tc>
      </w:tr>
      <w:tr>
        <w:tc>
          <w:tcPr>
            <w:tcW w:type="dxa" w:w="45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1</w:t>
            </w:r>
          </w:p>
        </w:tc>
        <w:tc>
          <w:tcPr>
            <w:tcW w:type="dxa" w:w="181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Acquire</w:t>
            </w:r>
          </w:p>
        </w:tc>
        <w:tc>
          <w:tcPr>
            <w:tcW w:type="dxa" w:w="510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Принять телеметрию, событие, сообщение или human input.</w:t>
            </w:r>
          </w:p>
        </w:tc>
        <w:tc>
          <w:tcPr>
            <w:tcW w:type="dxa" w:w="204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RawTelemetryFrame</w:t>
            </w:r>
          </w:p>
        </w:tc>
      </w:tr>
      <w:tr>
        <w:tc>
          <w:tcPr>
            <w:tcW w:type="dxa" w:w="45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2</w:t>
            </w:r>
          </w:p>
        </w:tc>
        <w:tc>
          <w:tcPr>
            <w:tcW w:type="dxa" w:w="181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Normalize</w:t>
            </w:r>
          </w:p>
        </w:tc>
        <w:tc>
          <w:tcPr>
            <w:tcW w:type="dxa" w:w="510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Привести units, timestamps, coordinate/reference frames и vendor schema.</w:t>
            </w:r>
          </w:p>
        </w:tc>
        <w:tc>
          <w:tcPr>
            <w:tcW w:type="dxa" w:w="204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TelemetryEnvelope</w:t>
            </w:r>
          </w:p>
        </w:tc>
      </w:tr>
      <w:tr>
        <w:tc>
          <w:tcPr>
            <w:tcW w:type="dxa" w:w="45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3</w:t>
            </w:r>
          </w:p>
        </w:tc>
        <w:tc>
          <w:tcPr>
            <w:tcW w:type="dxa" w:w="181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Validate</w:t>
            </w:r>
          </w:p>
        </w:tc>
        <w:tc>
          <w:tcPr>
            <w:tcW w:type="dxa" w:w="510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Проверить signature, health, calibration, range, privacy и quality.</w:t>
            </w:r>
          </w:p>
        </w:tc>
        <w:tc>
          <w:tcPr>
            <w:tcW w:type="dxa" w:w="204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ValidatedObservation</w:t>
            </w:r>
          </w:p>
        </w:tc>
      </w:tr>
      <w:tr>
        <w:tc>
          <w:tcPr>
            <w:tcW w:type="dxa" w:w="45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4</w:t>
            </w:r>
          </w:p>
        </w:tc>
        <w:tc>
          <w:tcPr>
            <w:tcW w:type="dxa" w:w="181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Interpret</w:t>
            </w:r>
          </w:p>
        </w:tc>
        <w:tc>
          <w:tcPr>
            <w:tcW w:type="dxa" w:w="510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Извлечь наблюдение, изменение процесса, событие или объект.</w:t>
            </w:r>
          </w:p>
        </w:tc>
        <w:tc>
          <w:tcPr>
            <w:tcW w:type="dxa" w:w="204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ObservationEvent</w:t>
            </w:r>
          </w:p>
        </w:tc>
      </w:tr>
      <w:tr>
        <w:tc>
          <w:tcPr>
            <w:tcW w:type="dxa" w:w="45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5</w:t>
            </w:r>
          </w:p>
        </w:tc>
        <w:tc>
          <w:tcPr>
            <w:tcW w:type="dxa" w:w="181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State Estimation</w:t>
            </w:r>
          </w:p>
        </w:tc>
        <w:tc>
          <w:tcPr>
            <w:tcW w:type="dxa" w:w="510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Обновить состояние машины, объекта, процесса, груза, среды или пациента.</w:t>
            </w:r>
          </w:p>
        </w:tc>
        <w:tc>
          <w:tcPr>
            <w:tcW w:type="dxa" w:w="204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EntityState</w:t>
            </w:r>
          </w:p>
        </w:tc>
      </w:tr>
      <w:tr>
        <w:tc>
          <w:tcPr>
            <w:tcW w:type="dxa" w:w="45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6</w:t>
            </w:r>
          </w:p>
        </w:tc>
        <w:tc>
          <w:tcPr>
            <w:tcW w:type="dxa" w:w="181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Local Context</w:t>
            </w:r>
          </w:p>
        </w:tc>
        <w:tc>
          <w:tcPr>
            <w:tcW w:type="dxa" w:w="510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Связать state с mission, workflow, twin, policy и environment.</w:t>
            </w:r>
          </w:p>
        </w:tc>
        <w:tc>
          <w:tcPr>
            <w:tcW w:type="dxa" w:w="204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ContextState</w:t>
            </w:r>
          </w:p>
        </w:tc>
      </w:tr>
      <w:tr>
        <w:tc>
          <w:tcPr>
            <w:tcW w:type="dxa" w:w="45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7</w:t>
            </w:r>
          </w:p>
        </w:tc>
        <w:tc>
          <w:tcPr>
            <w:tcW w:type="dxa" w:w="181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Peer Exchange</w:t>
            </w:r>
          </w:p>
        </w:tc>
        <w:tc>
          <w:tcPr>
            <w:tcW w:type="dxa" w:w="510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Обменяться state delta, intent, health и capability с доверенными peers.</w:t>
            </w:r>
          </w:p>
        </w:tc>
        <w:tc>
          <w:tcPr>
            <w:tcW w:type="dxa" w:w="204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PeerStateDelta</w:t>
            </w:r>
          </w:p>
        </w:tc>
      </w:tr>
      <w:tr>
        <w:tc>
          <w:tcPr>
            <w:tcW w:type="dxa" w:w="45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8</w:t>
            </w:r>
          </w:p>
        </w:tc>
        <w:tc>
          <w:tcPr>
            <w:tcW w:type="dxa" w:w="181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Collective Model</w:t>
            </w:r>
          </w:p>
        </w:tc>
        <w:tc>
          <w:tcPr>
            <w:tcW w:type="dxa" w:w="510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Сформировать shared local/world state с uncertainty и conflict markers.</w:t>
            </w:r>
          </w:p>
        </w:tc>
        <w:tc>
          <w:tcPr>
            <w:tcW w:type="dxa" w:w="204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SharedWorldState</w:t>
            </w:r>
          </w:p>
        </w:tc>
      </w:tr>
      <w:tr>
        <w:tc>
          <w:tcPr>
            <w:tcW w:type="dxa" w:w="45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9</w:t>
            </w:r>
          </w:p>
        </w:tc>
        <w:tc>
          <w:tcPr>
            <w:tcW w:type="dxa" w:w="181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Intent &amp; Planning</w:t>
            </w:r>
          </w:p>
        </w:tc>
        <w:tc>
          <w:tcPr>
            <w:tcW w:type="dxa" w:w="510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Сформировать mission/workflow plan, ресурсы, constraints и success criteria.</w:t>
            </w:r>
          </w:p>
        </w:tc>
        <w:tc>
          <w:tcPr>
            <w:tcW w:type="dxa" w:w="204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MissionPlan</w:t>
            </w:r>
          </w:p>
        </w:tc>
      </w:tr>
      <w:tr>
        <w:tc>
          <w:tcPr>
            <w:tcW w:type="dxa" w:w="45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10</w:t>
            </w:r>
          </w:p>
        </w:tc>
        <w:tc>
          <w:tcPr>
            <w:tcW w:type="dxa" w:w="181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Task Allocation</w:t>
            </w:r>
          </w:p>
        </w:tc>
        <w:tc>
          <w:tcPr>
            <w:tcW w:type="dxa" w:w="510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Назначить задачи узлам, резервам или sub-swarms.</w:t>
            </w:r>
          </w:p>
        </w:tc>
        <w:tc>
          <w:tcPr>
            <w:tcW w:type="dxa" w:w="204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TaskAssignment</w:t>
            </w:r>
          </w:p>
        </w:tc>
      </w:tr>
      <w:tr>
        <w:tc>
          <w:tcPr>
            <w:tcW w:type="dxa" w:w="45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11</w:t>
            </w:r>
          </w:p>
        </w:tc>
        <w:tc>
          <w:tcPr>
            <w:tcW w:type="dxa" w:w="181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Policy &amp; Safety</w:t>
            </w:r>
          </w:p>
        </w:tc>
        <w:tc>
          <w:tcPr>
            <w:tcW w:type="dxa" w:w="510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Проверить mandate, roles, risk, ODD, safety envelope, scope и TTL.</w:t>
            </w:r>
          </w:p>
        </w:tc>
        <w:tc>
          <w:tcPr>
            <w:tcW w:type="dxa" w:w="204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PolicyDecision</w:t>
            </w:r>
          </w:p>
        </w:tc>
      </w:tr>
      <w:tr>
        <w:tc>
          <w:tcPr>
            <w:tcW w:type="dxa" w:w="45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12</w:t>
            </w:r>
          </w:p>
        </w:tc>
        <w:tc>
          <w:tcPr>
            <w:tcW w:type="dxa" w:w="181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Execute</w:t>
            </w:r>
          </w:p>
        </w:tc>
        <w:tc>
          <w:tcPr>
            <w:tcW w:type="dxa" w:w="510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Отправить bounded, idempotent command через разрешённый adapter.</w:t>
            </w:r>
          </w:p>
        </w:tc>
        <w:tc>
          <w:tcPr>
            <w:tcW w:type="dxa" w:w="204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ActionCommand</w:t>
            </w:r>
          </w:p>
        </w:tc>
      </w:tr>
      <w:tr>
        <w:tc>
          <w:tcPr>
            <w:tcW w:type="dxa" w:w="45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13</w:t>
            </w:r>
          </w:p>
        </w:tc>
        <w:tc>
          <w:tcPr>
            <w:tcW w:type="dxa" w:w="181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Feedback</w:t>
            </w:r>
          </w:p>
        </w:tc>
        <w:tc>
          <w:tcPr>
            <w:tcW w:type="dxa" w:w="510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Получить acknowledgement, telemetry и фактическое состояние.</w:t>
            </w:r>
          </w:p>
        </w:tc>
        <w:tc>
          <w:tcPr>
            <w:tcW w:type="dxa" w:w="204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ActionFeedback</w:t>
            </w:r>
          </w:p>
        </w:tc>
      </w:tr>
      <w:tr>
        <w:tc>
          <w:tcPr>
            <w:tcW w:type="dxa" w:w="45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14</w:t>
            </w:r>
          </w:p>
        </w:tc>
        <w:tc>
          <w:tcPr>
            <w:tcW w:type="dxa" w:w="181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Verify Outcome</w:t>
            </w:r>
          </w:p>
        </w:tc>
        <w:tc>
          <w:tcPr>
            <w:tcW w:type="dxa" w:w="510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Сопоставить цель и результат; оценить residual risk и uncertainty.</w:t>
            </w:r>
          </w:p>
        </w:tc>
        <w:tc>
          <w:tcPr>
            <w:tcW w:type="dxa" w:w="204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OutcomeAssessment</w:t>
            </w:r>
          </w:p>
        </w:tc>
      </w:tr>
      <w:tr>
        <w:tc>
          <w:tcPr>
            <w:tcW w:type="dxa" w:w="45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15</w:t>
            </w:r>
          </w:p>
        </w:tc>
        <w:tc>
          <w:tcPr>
            <w:tcW w:type="dxa" w:w="181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Prove</w:t>
            </w:r>
          </w:p>
        </w:tc>
        <w:tc>
          <w:tcPr>
            <w:tcW w:type="dxa" w:w="510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Сформировать evidence fragment/package с provenance, versions и signatures.</w:t>
            </w:r>
          </w:p>
        </w:tc>
        <w:tc>
          <w:tcPr>
            <w:tcW w:type="dxa" w:w="204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EvidenceFragment / EvidencePackage</w:t>
            </w:r>
          </w:p>
        </w:tc>
      </w:tr>
      <w:tr>
        <w:tc>
          <w:tcPr>
            <w:tcW w:type="dxa" w:w="45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16</w:t>
            </w:r>
          </w:p>
        </w:tc>
        <w:tc>
          <w:tcPr>
            <w:tcW w:type="dxa" w:w="181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Learn &amp; Synchronize</w:t>
            </w:r>
          </w:p>
        </w:tc>
        <w:tc>
          <w:tcPr>
            <w:tcW w:type="dxa" w:w="510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Подготовить learning candidate; выполнить governed sync и reconciliation.</w:t>
            </w:r>
          </w:p>
        </w:tc>
        <w:tc>
          <w:tcPr>
            <w:tcW w:type="dxa" w:w="204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3"/>
              </w:rPr>
              <w:t>LearningCandidate / SyncRecord</w:t>
            </w:r>
          </w:p>
        </w:tc>
      </w:tr>
    </w:tbl>
    <w:p>
      <w:pPr>
        <w:spacing w:after="20"/>
      </w:pPr>
    </w:p>
    <w:p>
      <w:pPr>
        <w:pStyle w:val="Heading2"/>
      </w:pPr>
      <w:r>
        <w:t>7.1 Universal TelemetryEnvelope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6"/>
            <w:shd w:fill="F4F8FA"/>
            <w:tcMar>
              <w:top w:w="140" w:type="dxa"/>
              <w:start w:w="180" w:type="dxa"/>
              <w:bottom w:w="140" w:type="dxa"/>
              <w:end w:w="180" w:type="dxa"/>
            </w:tcMar>
          </w:tcPr>
          <w:p>
            <w:pPr>
              <w:pStyle w:val="A3OCode"/>
            </w:pPr>
            <w:r/>
            <w:r>
              <w:t>message_id · source_node_id · source_component_id · ecosystem_id · mission_id</w:t>
            </w:r>
          </w:p>
          <w:p>
            <w:pPr>
              <w:pStyle w:val="A3OCode"/>
            </w:pPr>
            <w:r>
              <w:t>timestamp · trusted_time_status · data_modality · semantic_type</w:t>
            </w:r>
          </w:p>
          <w:p>
            <w:pPr>
              <w:pStyle w:val="A3OCode"/>
            </w:pPr>
            <w:r>
              <w:t>unit_system · reference_frame · payload · quality · uncertainty</w:t>
            </w:r>
          </w:p>
          <w:p>
            <w:pPr>
              <w:pStyle w:val="A3OCode"/>
            </w:pPr>
            <w:r>
              <w:t>classification · privacy_class · schema_version · signature · provenance</w:t>
            </w:r>
          </w:p>
        </w:tc>
      </w:tr>
    </w:tbl>
    <w:p>
      <w:pPr>
        <w:spacing w:after="0"/>
      </w:pPr>
    </w:p>
    <w:p>
      <w:pPr>
        <w:keepLines w:val="0"/>
      </w:pPr>
      <w:r>
        <w:rPr>
          <w:i w:val="0"/>
        </w:rPr>
        <w:t>Контракт обеспечивает единое основание для заводского датчика, медицинского сенсора, навигации БПЛА, RF-приёмника или внешнего бизнес-события. Domain-specific payload остаётся расширяемым, но envelope, identity, time, quality и provenance обязательны.</w:t>
      </w:r>
    </w:p>
    <w:p>
      <w:pPr>
        <w:pStyle w:val="Heading1"/>
      </w:pPr>
      <w:r>
        <w:t>8. Governance, human authority and safety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721"/>
        <w:gridCol w:w="6690"/>
      </w:tblGrid>
      <w:tr>
        <w:trPr>
          <w:tblHeader w:val="true"/>
        </w:trPr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Уровень</w:t>
            </w:r>
          </w:p>
        </w:tc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Режим</w:t>
            </w:r>
          </w:p>
        </w:tc>
      </w:tr>
      <w:tr>
        <w:tc>
          <w:tcPr>
            <w:tcW w:type="dxa" w:w="272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6"/>
              </w:rPr>
              <w:t>L0 Manual</w:t>
            </w:r>
          </w:p>
        </w:tc>
        <w:tc>
          <w:tcPr>
            <w:tcW w:type="dxa" w:w="669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6"/>
              </w:rPr>
              <w:t>Человек непосредственно управляет действием.</w:t>
            </w:r>
          </w:p>
        </w:tc>
      </w:tr>
      <w:tr>
        <w:tc>
          <w:tcPr>
            <w:tcW w:type="dxa" w:w="272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6"/>
              </w:rPr>
              <w:t>L1 Assisted</w:t>
            </w:r>
          </w:p>
        </w:tc>
        <w:tc>
          <w:tcPr>
            <w:tcW w:type="dxa" w:w="669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6"/>
              </w:rPr>
              <w:t>AI анализирует и предлагает варианты.</w:t>
            </w:r>
          </w:p>
        </w:tc>
      </w:tr>
      <w:tr>
        <w:tc>
          <w:tcPr>
            <w:tcW w:type="dxa" w:w="272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6"/>
              </w:rPr>
              <w:t>L2 Supervised</w:t>
            </w:r>
          </w:p>
        </w:tc>
        <w:tc>
          <w:tcPr>
            <w:tcW w:type="dxa" w:w="669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6"/>
              </w:rPr>
              <w:t>Действие выполняется после подтверждения.</w:t>
            </w:r>
          </w:p>
        </w:tc>
      </w:tr>
      <w:tr>
        <w:tc>
          <w:tcPr>
            <w:tcW w:type="dxa" w:w="272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6"/>
              </w:rPr>
              <w:t>L3 Delegated</w:t>
            </w:r>
          </w:p>
        </w:tc>
        <w:tc>
          <w:tcPr>
            <w:tcW w:type="dxa" w:w="669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6"/>
              </w:rPr>
              <w:t>Система действует внутри time/mission-bounded mandate.</w:t>
            </w:r>
          </w:p>
        </w:tc>
      </w:tr>
      <w:tr>
        <w:tc>
          <w:tcPr>
            <w:tcW w:type="dxa" w:w="272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6"/>
              </w:rPr>
              <w:t>L4 Coordinated Autonomous</w:t>
            </w:r>
          </w:p>
        </w:tc>
        <w:tc>
          <w:tcPr>
            <w:tcW w:type="dxa" w:w="669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6"/>
              </w:rPr>
              <w:t>Несколько узлов координируются внутри policy/safety envelope.</w:t>
            </w:r>
          </w:p>
        </w:tc>
      </w:tr>
      <w:tr>
        <w:tc>
          <w:tcPr>
            <w:tcW w:type="dxa" w:w="272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6"/>
              </w:rPr>
              <w:t>L5 Certified Autonomous Domain</w:t>
            </w:r>
          </w:p>
        </w:tc>
        <w:tc>
          <w:tcPr>
            <w:tcW w:type="dxa" w:w="669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6"/>
              </w:rPr>
              <w:t>Автономное выполнение в сертифицированном operational design domain.</w:t>
            </w:r>
          </w:p>
        </w:tc>
      </w:tr>
    </w:tbl>
    <w:p>
      <w:pPr>
        <w:spacing w:after="20"/>
      </w:pPr>
    </w:p>
    <w:p>
      <w:pPr>
        <w:pStyle w:val="ListBullet"/>
        <w:spacing w:after="40"/>
      </w:pPr>
      <w:r>
        <w:t>Уровень автономии задаётся не маркетинговым названием, а profile + ODD + policy + safety case.</w:t>
      </w:r>
    </w:p>
    <w:p>
      <w:pPr>
        <w:pStyle w:val="ListBullet"/>
        <w:spacing w:after="40"/>
      </w:pPr>
      <w:r>
        <w:t>AI recommendation и operational authority являются разными объектами.</w:t>
      </w:r>
    </w:p>
    <w:p>
      <w:pPr>
        <w:pStyle w:val="ListBullet"/>
        <w:spacing w:after="40"/>
      </w:pPr>
      <w:r>
        <w:t>Emergency stop, revoke, quarantine и degrade-to-safe обязательны для cyber-physical profiles.</w:t>
      </w:r>
    </w:p>
    <w:p>
      <w:pPr>
        <w:pStyle w:val="ListBullet"/>
        <w:spacing w:after="40"/>
      </w:pPr>
      <w:r>
        <w:t>Learning не изменяет operational permissions автоматически.</w:t>
      </w:r>
    </w:p>
    <w:p>
      <w:pPr>
        <w:pStyle w:val="ListBullet"/>
        <w:spacing w:after="40"/>
      </w:pPr>
      <w:r>
        <w:t>Human authority является first-class system component: identity, reason, scope, timestamp и signature.</w:t>
      </w:r>
    </w:p>
    <w:p>
      <w:pPr>
        <w:pStyle w:val="Heading1"/>
      </w:pPr>
      <w:r>
        <w:t>9. Отраслевые сценарии</w:t>
      </w:r>
    </w:p>
    <w:p>
      <w:pPr>
        <w:pStyle w:val="Heading2"/>
      </w:pPr>
      <w:r>
        <w:t>9.1 ПРОИЗВОДСТВО</w:t>
      </w:r>
    </w:p>
    <w:p>
      <w:pPr>
        <w:keepLines w:val="0"/>
      </w:pPr>
      <w:r>
        <w:rPr>
          <w:i/>
        </w:rPr>
        <w:t>Роботизированные заводы, автономные цеха и гибкие производственные линии</w:t>
      </w:r>
    </w:p>
    <w:p>
      <w:pPr>
        <w:pStyle w:val="ListBullet"/>
        <w:spacing w:after="40"/>
      </w:pPr>
      <w:r>
        <w:t>Промышленные роботы, cobots, AMR/AGV, конвейеры, машинное зрение, MES/SCADA и энергетическое оборудование.</w:t>
      </w:r>
    </w:p>
    <w:p>
      <w:pPr>
        <w:pStyle w:val="ListBullet"/>
        <w:spacing w:after="40"/>
      </w:pPr>
      <w:r>
        <w:t>Координация операций, безопасное разделение зон, перераспределение задач при отказе и evidence для качества.</w:t>
      </w:r>
    </w:p>
    <w:p>
      <w:pPr>
        <w:pStyle w:val="ListBullet"/>
        <w:spacing w:after="40"/>
      </w:pPr>
      <w:r>
        <w:t>Ключевой результат: cross-vendor production cell, которая сохраняет policy, safety и traceability при изменении состава оборудования.</w:t>
      </w:r>
    </w:p>
    <w:p>
      <w:pPr>
        <w:pStyle w:val="Heading2"/>
      </w:pPr>
      <w:r>
        <w:t>9.2 ТРАНСПОРТИРОВКА И ЛОГИСТИКА</w:t>
      </w:r>
    </w:p>
    <w:p>
      <w:pPr>
        <w:keepLines w:val="0"/>
      </w:pPr>
      <w:r>
        <w:rPr>
          <w:i/>
        </w:rPr>
        <w:t>Автономные грузовики, delivery drones, склады, терминалы и портовые хабы</w:t>
      </w:r>
    </w:p>
    <w:p>
      <w:pPr>
        <w:pStyle w:val="ListBullet"/>
        <w:spacing w:after="40"/>
      </w:pPr>
      <w:r>
        <w:t>Единое mission planning между складскими роботами, транспортными платформами, кранами, UAV/USV и внешними системами.</w:t>
      </w:r>
    </w:p>
    <w:p>
      <w:pPr>
        <w:pStyle w:val="ListBullet"/>
        <w:spacing w:after="40"/>
      </w:pPr>
      <w:r>
        <w:t>Route/energy coordination, hand-off задачи между видами транспорта, geofencing и chain of custody.</w:t>
      </w:r>
    </w:p>
    <w:p>
      <w:pPr>
        <w:pStyle w:val="ListBullet"/>
        <w:spacing w:after="40"/>
      </w:pPr>
      <w:r>
        <w:t>Ключевой результат: безопасная работа флота при нестабильной связи и доказуемое подтверждение доставки.</w:t>
      </w:r>
    </w:p>
    <w:p>
      <w:pPr>
        <w:pStyle w:val="Heading2"/>
      </w:pPr>
      <w:r>
        <w:t>9.3 СБОР ИНФОРМАЦИИ</w:t>
      </w:r>
    </w:p>
    <w:p>
      <w:pPr>
        <w:keepLines w:val="0"/>
      </w:pPr>
      <w:r>
        <w:rPr>
          <w:i/>
        </w:rPr>
        <w:t>Инспекция, картографирование, геологоразведка и экологический мониторинг</w:t>
      </w:r>
    </w:p>
    <w:p>
      <w:pPr>
        <w:pStyle w:val="ListBullet"/>
        <w:spacing w:after="40"/>
      </w:pPr>
      <w:r>
        <w:t>Распределение зон между UAV, UGV, USV и UUV, coverage planning и исключение дублирования маршрутов.</w:t>
      </w:r>
    </w:p>
    <w:p>
      <w:pPr>
        <w:pStyle w:val="ListBullet"/>
        <w:spacing w:after="40"/>
      </w:pPr>
      <w:r>
        <w:t>Edge fusion, контроль калибровки, provenance, обнаружение пробелов и формирование trusted dataset.</w:t>
      </w:r>
    </w:p>
    <w:p>
      <w:pPr>
        <w:pStyle w:val="ListBullet"/>
        <w:spacing w:after="40"/>
      </w:pPr>
      <w:r>
        <w:t>Ключевой результат: воспроизводимая связь между маршрутом, сенсором, условиями измерения и итоговым выводом.</w:t>
      </w:r>
    </w:p>
    <w:p>
      <w:pPr>
        <w:pStyle w:val="Heading2"/>
      </w:pPr>
      <w:r>
        <w:t>9.4 ПОМОЩЬ, ЛЕЧЕНИЕ И СПАСЕНИЕ</w:t>
      </w:r>
    </w:p>
    <w:p>
      <w:pPr>
        <w:keepLines w:val="0"/>
      </w:pPr>
      <w:r>
        <w:rPr>
          <w:i/>
        </w:rPr>
        <w:t>Медицинские ассистенты, эвакуация, доставка медикаментов и search-and-rescue</w:t>
      </w:r>
    </w:p>
    <w:p>
      <w:pPr>
        <w:pStyle w:val="ListBullet"/>
        <w:spacing w:after="40"/>
      </w:pPr>
      <w:r>
        <w:t>Приоритизация задач, patient/cargo identity, human escalation, privacy controls и safety envelope.</w:t>
      </w:r>
    </w:p>
    <w:p>
      <w:pPr>
        <w:pStyle w:val="ListBullet"/>
        <w:spacing w:after="40"/>
      </w:pPr>
      <w:r>
        <w:t>Координация роботов и беспилотников в разрушенной, заражённой или недоступной среде.</w:t>
      </w:r>
    </w:p>
    <w:p>
      <w:pPr>
        <w:pStyle w:val="ListBullet"/>
        <w:spacing w:after="40"/>
      </w:pPr>
      <w:r>
        <w:t>Ключевой результат: подтверждённая chain of custody и чёткая граница между рекомендацией и разрешённым действием.</w:t>
      </w:r>
    </w:p>
    <w:p>
      <w:pPr>
        <w:pStyle w:val="Heading2"/>
      </w:pPr>
      <w:r>
        <w:t>9.5 БЕЗОПАСНОСТЬ И ОБОРОНА</w:t>
      </w:r>
    </w:p>
    <w:p>
      <w:pPr>
        <w:keepLines w:val="0"/>
      </w:pPr>
      <w:r>
        <w:rPr>
          <w:i/>
        </w:rPr>
        <w:t>Защита, contested operations и координация автономных систем</w:t>
      </w:r>
    </w:p>
    <w:p>
      <w:pPr>
        <w:pStyle w:val="ListBullet"/>
        <w:spacing w:after="40"/>
      </w:pPr>
      <w:r>
        <w:t>DroneDefender, distributed reconnaissance, логистика, эвакуация, противодействие автономным угрозам и GNSS/communications denial.</w:t>
      </w:r>
    </w:p>
    <w:p>
      <w:pPr>
        <w:pStyle w:val="ListBullet"/>
        <w:spacing w:after="40"/>
      </w:pPr>
      <w:r>
        <w:t>Mission identity, rules/policy enforcement, positive control, compromised-peer isolation и immutable mission evidence.</w:t>
      </w:r>
    </w:p>
    <w:p>
      <w:pPr>
        <w:pStyle w:val="ListBullet"/>
        <w:spacing w:after="40"/>
      </w:pPr>
      <w:r>
        <w:t>Ключевой результат: разнородные системы действуют совместно, но не выходят за пределы делегированных полномочий.</w:t>
      </w:r>
    </w:p>
    <w:p>
      <w:pPr>
        <w:pStyle w:val="Heading1"/>
      </w:pPr>
      <w:r>
        <w:t>10. Продуктовый портфель и deployment profiles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948"/>
        <w:gridCol w:w="6463"/>
      </w:tblGrid>
      <w:tr>
        <w:trPr>
          <w:tblHeader w:val="true"/>
        </w:trPr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Модуль</w:t>
            </w:r>
          </w:p>
        </w:tc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Назначение</w:t>
            </w:r>
          </w:p>
        </w:tc>
      </w:tr>
      <w:tr>
        <w:tc>
          <w:tcPr>
            <w:tcW w:type="dxa" w:w="294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A³O Connect</w:t>
            </w:r>
          </w:p>
        </w:tc>
        <w:tc>
          <w:tcPr>
            <w:tcW w:type="dxa" w:w="646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Node enrollment, identity, adapters, schema mapping и telemetry gateway.</w:t>
            </w:r>
          </w:p>
        </w:tc>
      </w:tr>
      <w:tr>
        <w:tc>
          <w:tcPr>
            <w:tcW w:type="dxa" w:w="294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A³O Edge Runtime</w:t>
            </w:r>
          </w:p>
        </w:tc>
        <w:tc>
          <w:tcPr>
            <w:tcW w:type="dxa" w:w="646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Локальное execution, state, policy, evidence и safe degraded operation.</w:t>
            </w:r>
          </w:p>
        </w:tc>
      </w:tr>
      <w:tr>
        <w:tc>
          <w:tcPr>
            <w:tcW w:type="dxa" w:w="294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A³O Swarm</w:t>
            </w:r>
          </w:p>
        </w:tc>
        <w:tc>
          <w:tcPr>
            <w:tcW w:type="dxa" w:w="646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P2P coordination, capability exchange, task allocation и partition management.</w:t>
            </w:r>
          </w:p>
        </w:tc>
      </w:tr>
      <w:tr>
        <w:tc>
          <w:tcPr>
            <w:tcW w:type="dxa" w:w="294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A³O Command</w:t>
            </w:r>
          </w:p>
        </w:tc>
        <w:tc>
          <w:tcPr>
            <w:tcW w:type="dxa" w:w="646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Mission planning, operator supervision, authorization и workflow management.</w:t>
            </w:r>
          </w:p>
        </w:tc>
      </w:tr>
      <w:tr>
        <w:tc>
          <w:tcPr>
            <w:tcW w:type="dxa" w:w="294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A³O Intelligence</w:t>
            </w:r>
          </w:p>
        </w:tc>
        <w:tc>
          <w:tcPr>
            <w:tcW w:type="dxa" w:w="646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State estimation, prediction, planning и governed cognitive services.</w:t>
            </w:r>
          </w:p>
        </w:tc>
      </w:tr>
      <w:tr>
        <w:tc>
          <w:tcPr>
            <w:tcW w:type="dxa" w:w="294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A³O Assurance</w:t>
            </w:r>
          </w:p>
        </w:tc>
        <w:tc>
          <w:tcPr>
            <w:tcW w:type="dxa" w:w="646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Evidence graph, replay, verification, audit и conformance services.</w:t>
            </w:r>
          </w:p>
        </w:tc>
      </w:tr>
      <w:tr>
        <w:tc>
          <w:tcPr>
            <w:tcW w:type="dxa" w:w="294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A³O Twin</w:t>
            </w:r>
          </w:p>
        </w:tc>
        <w:tc>
          <w:tcPr>
            <w:tcW w:type="dxa" w:w="646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Operational twin, simulation, scenario, forecast и training.</w:t>
            </w:r>
          </w:p>
        </w:tc>
      </w:tr>
      <w:tr>
        <w:tc>
          <w:tcPr>
            <w:tcW w:type="dxa" w:w="294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A³O Industry Profiles</w:t>
            </w:r>
          </w:p>
        </w:tc>
        <w:tc>
          <w:tcPr>
            <w:tcW w:type="dxa" w:w="646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Manufacturing, Logistics, Information, Care/Response, Security/Defence packs.</w:t>
            </w:r>
          </w:p>
        </w:tc>
      </w:tr>
    </w:tbl>
    <w:p>
      <w:pPr>
        <w:spacing w:after="20"/>
      </w:pP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948"/>
        <w:gridCol w:w="6463"/>
      </w:tblGrid>
      <w:tr>
        <w:trPr>
          <w:tblHeader w:val="true"/>
        </w:trPr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Deployment profile</w:t>
            </w:r>
          </w:p>
        </w:tc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Описание</w:t>
            </w:r>
          </w:p>
        </w:tc>
      </w:tr>
      <w:tr>
        <w:tc>
          <w:tcPr>
            <w:tcW w:type="dxa" w:w="294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Lite / Connected</w:t>
            </w:r>
          </w:p>
        </w:tc>
        <w:tc>
          <w:tcPr>
            <w:tcW w:type="dxa" w:w="646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Cloud-assisted pilot, monitoring and non-critical workflows; limited disconnected mode.</w:t>
            </w:r>
          </w:p>
        </w:tc>
      </w:tr>
      <w:tr>
        <w:tc>
          <w:tcPr>
            <w:tcW w:type="dxa" w:w="294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Edge Site</w:t>
            </w:r>
          </w:p>
        </w:tc>
        <w:tc>
          <w:tcPr>
            <w:tcW w:type="dxa" w:w="646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Все core services локально; продолжение разрешённых операций без internet.</w:t>
            </w:r>
          </w:p>
        </w:tc>
      </w:tr>
      <w:tr>
        <w:tc>
          <w:tcPr>
            <w:tcW w:type="dxa" w:w="294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Swarm / Mobile</w:t>
            </w:r>
          </w:p>
        </w:tc>
        <w:tc>
          <w:tcPr>
            <w:tcW w:type="dxa" w:w="646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Множество mobile nodes с P2P mesh и delegated authority.</w:t>
            </w:r>
          </w:p>
        </w:tc>
      </w:tr>
      <w:tr>
        <w:tc>
          <w:tcPr>
            <w:tcW w:type="dxa" w:w="294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Hybrid Federation</w:t>
            </w:r>
          </w:p>
        </w:tc>
        <w:tc>
          <w:tcPr>
            <w:tcW w:type="dxa" w:w="646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Несколько sites/fleets и supervisory cloud; local authority remains local.</w:t>
            </w:r>
          </w:p>
        </w:tc>
      </w:tr>
      <w:tr>
        <w:tc>
          <w:tcPr>
            <w:tcW w:type="dxa" w:w="294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Simulation &amp; Training</w:t>
            </w:r>
          </w:p>
        </w:tc>
        <w:tc>
          <w:tcPr>
            <w:tcW w:type="dxa" w:w="646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Жёстко отделённый execution path без доступа к live actuators.</w:t>
            </w:r>
          </w:p>
        </w:tc>
      </w:tr>
      <w:tr>
        <w:tc>
          <w:tcPr>
            <w:tcW w:type="dxa" w:w="294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Engineering Twin</w:t>
            </w:r>
          </w:p>
        </w:tc>
        <w:tc>
          <w:tcPr>
            <w:tcW w:type="dxa" w:w="646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Design, placement, coverage и system integration; не live state без validated sync.</w:t>
            </w:r>
          </w:p>
        </w:tc>
      </w:tr>
    </w:tbl>
    <w:p>
      <w:pPr>
        <w:spacing w:after="20"/>
      </w:pPr>
    </w:p>
    <w:p>
      <w:pPr>
        <w:pStyle w:val="Heading1"/>
      </w:pPr>
      <w:r>
        <w:t>11. Бизнес-модель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005"/>
        <w:gridCol w:w="6406"/>
      </w:tblGrid>
      <w:tr>
        <w:trPr>
          <w:tblHeader w:val="true"/>
        </w:trPr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Поток выручки</w:t>
            </w:r>
          </w:p>
        </w:tc>
        <w:tc>
          <w:tcPr>
            <w:tcW w:type="dxa" w:w="4933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Единица ценности</w:t>
            </w:r>
          </w:p>
        </w:tc>
      </w:tr>
      <w:tr>
        <w:tc>
          <w:tcPr>
            <w:tcW w:type="dxa" w:w="300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Node Runtime License</w:t>
            </w:r>
          </w:p>
        </w:tc>
        <w:tc>
          <w:tcPr>
            <w:tcW w:type="dxa" w:w="640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За active autonomous node / год.</w:t>
            </w:r>
          </w:p>
        </w:tc>
      </w:tr>
      <w:tr>
        <w:tc>
          <w:tcPr>
            <w:tcW w:type="dxa" w:w="300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Fleet / Swarm License</w:t>
            </w:r>
          </w:p>
        </w:tc>
        <w:tc>
          <w:tcPr>
            <w:tcW w:type="dxa" w:w="640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За fleet, swarm или operational unit / год.</w:t>
            </w:r>
          </w:p>
        </w:tc>
      </w:tr>
      <w:tr>
        <w:tc>
          <w:tcPr>
            <w:tcW w:type="dxa" w:w="300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Enterprise Ecosystem License</w:t>
            </w:r>
          </w:p>
        </w:tc>
        <w:tc>
          <w:tcPr>
            <w:tcW w:type="dxa" w:w="640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За site, business unit или multi-site tenant.</w:t>
            </w:r>
          </w:p>
        </w:tc>
      </w:tr>
      <w:tr>
        <w:tc>
          <w:tcPr>
            <w:tcW w:type="dxa" w:w="300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Industry Profile Pack</w:t>
            </w:r>
          </w:p>
        </w:tc>
        <w:tc>
          <w:tcPr>
            <w:tcW w:type="dxa" w:w="640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Лицензия и support для отраслевого ontology/workflow/conformance pack.</w:t>
            </w:r>
          </w:p>
        </w:tc>
      </w:tr>
      <w:tr>
        <w:tc>
          <w:tcPr>
            <w:tcW w:type="dxa" w:w="300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Edge Appliance &amp; Runtime</w:t>
            </w:r>
          </w:p>
        </w:tc>
        <w:tc>
          <w:tcPr>
            <w:tcW w:type="dxa" w:w="640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Reference hardware, hardened image, support и lifecycle.</w:t>
            </w:r>
          </w:p>
        </w:tc>
      </w:tr>
      <w:tr>
        <w:tc>
          <w:tcPr>
            <w:tcW w:type="dxa" w:w="300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Connector / SDK</w:t>
            </w:r>
          </w:p>
        </w:tc>
        <w:tc>
          <w:tcPr>
            <w:tcW w:type="dxa" w:w="640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Commercial adapters, partner SDK, test kit и certification.</w:t>
            </w:r>
          </w:p>
        </w:tc>
      </w:tr>
      <w:tr>
        <w:tc>
          <w:tcPr>
            <w:tcW w:type="dxa" w:w="300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Integration &amp; Commissioning</w:t>
            </w:r>
          </w:p>
        </w:tc>
        <w:tc>
          <w:tcPr>
            <w:tcW w:type="dxa" w:w="640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Discovery, adapters, twin, acceptance и safety engineering.</w:t>
            </w:r>
          </w:p>
        </w:tc>
      </w:tr>
      <w:tr>
        <w:tc>
          <w:tcPr>
            <w:tcW w:type="dxa" w:w="300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Assurance &amp; Compliance</w:t>
            </w:r>
          </w:p>
        </w:tc>
        <w:tc>
          <w:tcPr>
            <w:tcW w:type="dxa" w:w="640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Evidence dossier, assessment, audit export и conformance services.</w:t>
            </w:r>
          </w:p>
        </w:tc>
      </w:tr>
      <w:tr>
        <w:tc>
          <w:tcPr>
            <w:tcW w:type="dxa" w:w="300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Simulation &amp; Training</w:t>
            </w:r>
          </w:p>
        </w:tc>
        <w:tc>
          <w:tcPr>
            <w:tcW w:type="dxa" w:w="640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5"/>
              </w:rPr>
              <w:t>Scenario packs, operator/engineer training и recurring exercises.</w:t>
            </w:r>
          </w:p>
        </w:tc>
      </w:tr>
    </w:tbl>
    <w:p>
      <w:pPr>
        <w:spacing w:after="2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8"/>
        <w:gridCol w:w="9468"/>
      </w:tblGrid>
      <w:tr>
        <w:tc>
          <w:tcPr>
            <w:tcW w:type="dxa" w:w="4933"/>
            <w:shd w:fill="39E6A1"/>
          </w:tcPr>
          <w:p/>
        </w:tc>
        <w:tc>
          <w:tcPr>
            <w:tcW w:type="dxa" w:w="4933"/>
            <w:shd w:fill="F4F8FA"/>
            <w:tcMar>
              <w:top w:w="150" w:type="dxa"/>
              <w:start w:w="180" w:type="dxa"/>
              <w:bottom w:w="150" w:type="dxa"/>
              <w:end w:w="180" w:type="dxa"/>
            </w:tcMar>
          </w:tcPr>
          <w:p>
            <w:r/>
            <w:r>
              <w:rPr>
                <w:rFonts w:ascii="Liberation Mono" w:hAnsi="Liberation Mono"/>
                <w:b/>
                <w:color w:val="39E6A1"/>
                <w:sz w:val="16"/>
              </w:rPr>
              <w:t xml:space="preserve">РЕКОМЕНДАЦИЯ  </w:t>
            </w:r>
            <w:r>
              <w:rPr>
                <w:rFonts w:ascii="Liberation Sans" w:hAnsi="Liberation Sans"/>
                <w:color w:val="172431"/>
                <w:sz w:val="18"/>
              </w:rPr>
              <w:t>Не использовать tokenomics как core business model. Enterprise, industrial, medical and public-sector procurement требует SLA, contractual accountability, auditable licensing, IP clarity и predictable lifecycle costs.</w:t>
            </w:r>
          </w:p>
        </w:tc>
      </w:tr>
    </w:tbl>
    <w:p>
      <w:pPr>
        <w:spacing w:after="0"/>
      </w:pPr>
    </w:p>
    <w:p>
      <w:pPr>
        <w:pStyle w:val="Heading1"/>
      </w:pPr>
      <w:r>
        <w:t>12. Рынок и TAM/SAM/SOM</w:t>
      </w:r>
    </w:p>
    <w:p>
      <w:pPr>
        <w:keepLines w:val="0"/>
      </w:pPr>
      <w:r>
        <w:rPr>
          <w:i w:val="0"/>
        </w:rPr>
        <w:t>Рынок определяется не полной стоимостью всех роботов, а адресуемыми расходами на autonomy orchestration, trust/identity, edge runtime, integration, safety, assurance и industry software. Суммирование отдельных отчётов по robotics, autonomous vehicles и industrial automation без устранения пересечений недопустимо.</w:t>
      </w:r>
    </w:p>
    <w:p>
      <w:pPr>
        <w:keepLines w:val="0"/>
      </w:pPr>
      <w:r>
        <w:rPr>
          <w:i w:val="0"/>
        </w:rPr>
        <w:t>Физический масштаб подтверждает расширение категории: IFR сообщает о 4,664 млн промышленных роботов в эксплуатации и 542 тыс. новых установок в 2024 году; продажи professional service robots достигли почти 200 тыс. единиц, из них 102,9 тыс. приходились на transport and logistics, а продажи medical robots составили около 16,7 тыс. единиц. [S1-S3]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28"/>
        <w:gridCol w:w="2381"/>
        <w:gridCol w:w="5102"/>
      </w:tblGrid>
      <w:tr>
        <w:trPr>
          <w:tblHeader w:val="true"/>
        </w:trPr>
        <w:tc>
          <w:tcPr>
            <w:tcW w:type="dxa" w:w="328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Показатель</w:t>
            </w:r>
          </w:p>
        </w:tc>
        <w:tc>
          <w:tcPr>
            <w:tcW w:type="dxa" w:w="328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Рабочая гипотеза</w:t>
            </w:r>
          </w:p>
        </w:tc>
        <w:tc>
          <w:tcPr>
            <w:tcW w:type="dxa" w:w="328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Метод/ограничения</w:t>
            </w:r>
          </w:p>
        </w:tc>
      </w:tr>
      <w:tr>
        <w:tc>
          <w:tcPr>
            <w:tcW w:type="dxa" w:w="192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TAM</w:t>
            </w:r>
          </w:p>
        </w:tc>
        <w:tc>
          <w:tcPr>
            <w:tcW w:type="dxa" w:w="238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€75-150B annual addressable spend</w:t>
            </w:r>
          </w:p>
        </w:tc>
        <w:tc>
          <w:tcPr>
            <w:tcW w:type="dxa" w:w="510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Глобальные расходы на fleet/robot software, edge runtime, cross-vendor integration, cyber-physical safety, assurance и managed autonomy. Management scenario, не независимая valuation.</w:t>
            </w:r>
          </w:p>
        </w:tc>
      </w:tr>
      <w:tr>
        <w:tc>
          <w:tcPr>
            <w:tcW w:type="dxa" w:w="192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SAM</w:t>
            </w:r>
          </w:p>
        </w:tc>
        <w:tc>
          <w:tcPr>
            <w:tcW w:type="dxa" w:w="238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€8-20B</w:t>
            </w:r>
          </w:p>
        </w:tc>
        <w:tc>
          <w:tcPr>
            <w:tcW w:type="dxa" w:w="510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Европа и партнёрские рынки; manufacturing, logistics, critical infrastructure, inspection, emergency response и defence autonomy при доступной сертификации/export profile.</w:t>
            </w:r>
          </w:p>
        </w:tc>
      </w:tr>
      <w:tr>
        <w:tc>
          <w:tcPr>
            <w:tcW w:type="dxa" w:w="192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SOM / 5 years</w:t>
            </w:r>
          </w:p>
        </w:tc>
        <w:tc>
          <w:tcPr>
            <w:tcW w:type="dxa" w:w="238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€25-60M ARR</w:t>
            </w:r>
          </w:p>
        </w:tc>
        <w:tc>
          <w:tcPr>
            <w:tcW w:type="dxa" w:w="510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10-20 enterprise ecosystems, 25-60 fleets/sites, industry profile and integration attach; зависит от sales cycle и partner channels.</w:t>
            </w:r>
          </w:p>
        </w:tc>
      </w:tr>
      <w:tr>
        <w:tc>
          <w:tcPr>
            <w:tcW w:type="dxa" w:w="192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SOM / 7-8 years</w:t>
            </w:r>
          </w:p>
        </w:tc>
        <w:tc>
          <w:tcPr>
            <w:tcW w:type="dxa" w:w="238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€75-150M ARR</w:t>
            </w:r>
          </w:p>
        </w:tc>
        <w:tc>
          <w:tcPr>
            <w:tcW w:type="dxa" w:w="510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Масштабирование через certified partners, node/fleet licensing, profile packs и assurance services.</w:t>
            </w:r>
          </w:p>
        </w:tc>
      </w:tr>
    </w:tbl>
    <w:p>
      <w:pPr>
        <w:spacing w:after="20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6"/>
            <w:shd w:fill="F4F8FA"/>
            <w:tcMar>
              <w:top w:w="140" w:type="dxa"/>
              <w:start w:w="180" w:type="dxa"/>
              <w:bottom w:w="140" w:type="dxa"/>
              <w:end w:w="180" w:type="dxa"/>
            </w:tcMar>
          </w:tcPr>
          <w:p>
            <w:pPr>
              <w:pStyle w:val="A3OCode"/>
            </w:pPr>
            <w:r/>
            <w:r>
              <w:t>Addressable annual value = active nodes × node fee</w:t>
            </w:r>
          </w:p>
          <w:p>
            <w:pPr>
              <w:pStyle w:val="A3OCode"/>
            </w:pPr>
            <w:r>
              <w:t xml:space="preserve">                         + fleets/sites × ecosystem license</w:t>
            </w:r>
          </w:p>
          <w:p>
            <w:pPr>
              <w:pStyle w:val="A3OCode"/>
            </w:pPr>
            <w:r>
              <w:t xml:space="preserve">                         + edge runtime/appliance</w:t>
            </w:r>
          </w:p>
          <w:p>
            <w:pPr>
              <w:pStyle w:val="A3OCode"/>
            </w:pPr>
            <w:r>
              <w:t xml:space="preserve">                         + integration attach</w:t>
            </w:r>
          </w:p>
          <w:p>
            <w:pPr>
              <w:pStyle w:val="A3OCode"/>
            </w:pPr>
            <w:r>
              <w:t xml:space="preserve">                         + assurance/profile services</w:t>
            </w:r>
          </w:p>
        </w:tc>
      </w:tr>
    </w:tbl>
    <w:p>
      <w:pPr>
        <w:spacing w:after="0"/>
      </w:pPr>
    </w:p>
    <w:p>
      <w:pPr>
        <w:pStyle w:val="Heading1"/>
      </w:pPr>
      <w:r>
        <w:t>13. Go-to-Market</w:t>
      </w:r>
    </w:p>
    <w:p>
      <w:pPr>
        <w:keepLines w:val="0"/>
      </w:pPr>
      <w:r>
        <w:rPr>
          <w:i w:val="0"/>
        </w:rPr>
        <w:t>Стратегия должна сочетать vertical proof и horizontal platform. Один универсальный продукт без узкого validation wedge будет слишком абстрактным; один security product не раскроет платформенную ценность.</w:t>
      </w:r>
    </w:p>
    <w:p>
      <w:pPr>
        <w:pStyle w:val="ListNumber"/>
        <w:spacing w:after="40"/>
      </w:pPr>
      <w:r>
        <w:t>Wedge 1 — DroneDefender / Security &amp; Defence: наиболее зрелый governed mission loop и доступ к critical infrastructure pilots.</w:t>
      </w:r>
    </w:p>
    <w:p>
      <w:pPr>
        <w:pStyle w:val="ListNumber"/>
        <w:spacing w:after="40"/>
      </w:pPr>
      <w:r>
        <w:t>Wedge 2 — Industrial inspection or logistics: доказательство non-security ontology, node/fleet coordination и measurable ROI.</w:t>
      </w:r>
    </w:p>
    <w:p>
      <w:pPr>
        <w:pStyle w:val="ListNumber"/>
        <w:spacing w:after="40"/>
      </w:pPr>
      <w:r>
        <w:t>Wedge 3 — Emergency/Care logistics: подтверждение privacy, chain of custody, human escalation и safety governance.</w:t>
      </w:r>
    </w:p>
    <w:p>
      <w:pPr>
        <w:pStyle w:val="ListNumber"/>
        <w:spacing w:after="40"/>
      </w:pPr>
      <w:r>
        <w:t>Partner scale — robot OEMs, system integrators, edge/cloud providers, insurers, testing and certification bodies.</w:t>
      </w:r>
    </w:p>
    <w:p>
      <w:pPr>
        <w:pStyle w:val="ListNumber"/>
        <w:spacing w:after="40"/>
      </w:pPr>
      <w:r>
        <w:t>Standardization — machine-readable profiles, conformance kit и reference implementation.</w:t>
      </w:r>
    </w:p>
    <w:p>
      <w:pPr>
        <w:pStyle w:val="Heading1"/>
      </w:pPr>
      <w:r>
        <w:t>14. Конкуренция и защитимость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551"/>
        <w:gridCol w:w="3005"/>
        <w:gridCol w:w="3855"/>
      </w:tblGrid>
      <w:tr>
        <w:trPr>
          <w:tblHeader w:val="true"/>
        </w:trPr>
        <w:tc>
          <w:tcPr>
            <w:tcW w:type="dxa" w:w="328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Категория</w:t>
            </w:r>
          </w:p>
        </w:tc>
        <w:tc>
          <w:tcPr>
            <w:tcW w:type="dxa" w:w="328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Обычно решает</w:t>
            </w:r>
          </w:p>
        </w:tc>
        <w:tc>
          <w:tcPr>
            <w:tcW w:type="dxa" w:w="328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Дифференциация A³O</w:t>
            </w:r>
          </w:p>
        </w:tc>
      </w:tr>
      <w:tr>
        <w:tc>
          <w:tcPr>
            <w:tcW w:type="dxa" w:w="255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Robot/Fleet Management</w:t>
            </w:r>
          </w:p>
        </w:tc>
        <w:tc>
          <w:tcPr>
            <w:tcW w:type="dxa" w:w="300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Один класс машин или vendor fleet.</w:t>
            </w:r>
          </w:p>
        </w:tc>
        <w:tc>
          <w:tcPr>
            <w:tcW w:type="dxa" w:w="385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Cross-vendor, cross-domain ecosystem, policy и evidence.</w:t>
            </w:r>
          </w:p>
        </w:tc>
      </w:tr>
      <w:tr>
        <w:tc>
          <w:tcPr>
            <w:tcW w:type="dxa" w:w="255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ROS / Middleware</w:t>
            </w:r>
          </w:p>
        </w:tc>
        <w:tc>
          <w:tcPr>
            <w:tcW w:type="dxa" w:w="300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Коммуникации и software components.</w:t>
            </w:r>
          </w:p>
        </w:tc>
        <w:tc>
          <w:tcPr>
            <w:tcW w:type="dxa" w:w="385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Identity, authority, assurance и industry conformance.</w:t>
            </w:r>
          </w:p>
        </w:tc>
      </w:tr>
      <w:tr>
        <w:tc>
          <w:tcPr>
            <w:tcW w:type="dxa" w:w="255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MES / SCADA</w:t>
            </w:r>
          </w:p>
        </w:tc>
        <w:tc>
          <w:tcPr>
            <w:tcW w:type="dxa" w:w="300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Производственные процессы и equipment control.</w:t>
            </w:r>
          </w:p>
        </w:tc>
        <w:tc>
          <w:tcPr>
            <w:tcW w:type="dxa" w:w="385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Distributed autonomous mission/task/swarm layer.</w:t>
            </w:r>
          </w:p>
        </w:tc>
      </w:tr>
      <w:tr>
        <w:tc>
          <w:tcPr>
            <w:tcW w:type="dxa" w:w="255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C2 / C4ISR</w:t>
            </w:r>
          </w:p>
        </w:tc>
        <w:tc>
          <w:tcPr>
            <w:tcW w:type="dxa" w:w="300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Command and situational awareness.</w:t>
            </w:r>
          </w:p>
        </w:tc>
        <w:tc>
          <w:tcPr>
            <w:tcW w:type="dxa" w:w="385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Industry-neutral contracts and profiles.</w:t>
            </w:r>
          </w:p>
        </w:tc>
      </w:tr>
      <w:tr>
        <w:tc>
          <w:tcPr>
            <w:tcW w:type="dxa" w:w="255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IoT Platform</w:t>
            </w:r>
          </w:p>
        </w:tc>
        <w:tc>
          <w:tcPr>
            <w:tcW w:type="dxa" w:w="300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Telemetry ingestion and analytics.</w:t>
            </w:r>
          </w:p>
        </w:tc>
        <w:tc>
          <w:tcPr>
            <w:tcW w:type="dxa" w:w="385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Governed cyber-physical action and outcome verification.</w:t>
            </w:r>
          </w:p>
        </w:tc>
      </w:tr>
      <w:tr>
        <w:tc>
          <w:tcPr>
            <w:tcW w:type="dxa" w:w="255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Digital Twin</w:t>
            </w:r>
          </w:p>
        </w:tc>
        <w:tc>
          <w:tcPr>
            <w:tcW w:type="dxa" w:w="300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Model, visualization and simulation.</w:t>
            </w:r>
          </w:p>
        </w:tc>
        <w:tc>
          <w:tcPr>
            <w:tcW w:type="dxa" w:w="385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Authoritative runtime loop and evidence chain.</w:t>
            </w:r>
          </w:p>
        </w:tc>
      </w:tr>
      <w:tr>
        <w:tc>
          <w:tcPr>
            <w:tcW w:type="dxa" w:w="255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AI Orchestration</w:t>
            </w:r>
          </w:p>
        </w:tc>
        <w:tc>
          <w:tcPr>
            <w:tcW w:type="dxa" w:w="300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Models, agents and tools.</w:t>
            </w:r>
          </w:p>
        </w:tc>
        <w:tc>
          <w:tcPr>
            <w:tcW w:type="dxa" w:w="385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Physical safety, delegated authority and execution boundaries.</w:t>
            </w:r>
          </w:p>
        </w:tc>
      </w:tr>
    </w:tbl>
    <w:p>
      <w:pPr>
        <w:spacing w:after="20"/>
      </w:pPr>
    </w:p>
    <w:p>
      <w:pPr>
        <w:pStyle w:val="ListBullet"/>
        <w:spacing w:after="40"/>
      </w:pPr>
      <w:r>
        <w:t>Canonical autonomy ontology и data contracts.</w:t>
      </w:r>
    </w:p>
    <w:p>
      <w:pPr>
        <w:pStyle w:val="ListBullet"/>
        <w:spacing w:after="40"/>
      </w:pPr>
      <w:r>
        <w:t>Trust/identity/delegation fabric для cyber-physical nodes.</w:t>
      </w:r>
    </w:p>
    <w:p>
      <w:pPr>
        <w:pStyle w:val="ListBullet"/>
        <w:spacing w:after="40"/>
      </w:pPr>
      <w:r>
        <w:t>Swarm coordination protocols и partition behavior.</w:t>
      </w:r>
    </w:p>
    <w:p>
      <w:pPr>
        <w:pStyle w:val="ListBullet"/>
        <w:spacing w:after="40"/>
      </w:pPr>
      <w:r>
        <w:t>Operational evidence graph и assurance case mapping.</w:t>
      </w:r>
    </w:p>
    <w:p>
      <w:pPr>
        <w:pStyle w:val="ListBullet"/>
        <w:spacing w:after="40"/>
      </w:pPr>
      <w:r>
        <w:t>Industry profile packs, adapters, conformance tests и simulation corpus.</w:t>
      </w:r>
    </w:p>
    <w:p>
      <w:pPr>
        <w:pStyle w:val="ListBullet"/>
        <w:spacing w:after="40"/>
      </w:pPr>
      <w:r>
        <w:t>Field datasets and deployment know-how across mixed-vendor systems.</w:t>
      </w:r>
    </w:p>
    <w:p>
      <w:pPr>
        <w:pStyle w:val="Heading1"/>
      </w:pPr>
      <w:r>
        <w:t>15. Roadmap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701"/>
        <w:gridCol w:w="2324"/>
        <w:gridCol w:w="5386"/>
      </w:tblGrid>
      <w:tr>
        <w:trPr>
          <w:tblHeader w:val="true"/>
        </w:trPr>
        <w:tc>
          <w:tcPr>
            <w:tcW w:type="dxa" w:w="328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Период</w:t>
            </w:r>
          </w:p>
        </w:tc>
        <w:tc>
          <w:tcPr>
            <w:tcW w:type="dxa" w:w="328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Цель</w:t>
            </w:r>
          </w:p>
        </w:tc>
        <w:tc>
          <w:tcPr>
            <w:tcW w:type="dxa" w:w="328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Gate/выход</w:t>
            </w:r>
          </w:p>
        </w:tc>
      </w:tr>
      <w:tr>
        <w:tc>
          <w:tcPr>
            <w:tcW w:type="dxa" w:w="170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0-3 months</w:t>
            </w:r>
          </w:p>
        </w:tc>
        <w:tc>
          <w:tcPr>
            <w:tcW w:type="dxa" w:w="23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R1.0 baseline freeze</w:t>
            </w:r>
          </w:p>
        </w:tc>
        <w:tc>
          <w:tcPr>
            <w:tcW w:type="dxa" w:w="538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Ontology, 15 contracts, SWM requirements, threat model, pilot selection, ADRs.</w:t>
            </w:r>
          </w:p>
        </w:tc>
      </w:tr>
      <w:tr>
        <w:tc>
          <w:tcPr>
            <w:tcW w:type="dxa" w:w="170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3-6 months</w:t>
            </w:r>
          </w:p>
        </w:tc>
        <w:tc>
          <w:tcPr>
            <w:tcW w:type="dxa" w:w="23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Universal Core D2</w:t>
            </w:r>
          </w:p>
        </w:tc>
        <w:tc>
          <w:tcPr>
            <w:tcW w:type="dxa" w:w="538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Node identity, telemetry gateway, schema registry, event fabric, state store, evidence fragments.</w:t>
            </w:r>
          </w:p>
        </w:tc>
      </w:tr>
      <w:tr>
        <w:tc>
          <w:tcPr>
            <w:tcW w:type="dxa" w:w="170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6-10 months</w:t>
            </w:r>
          </w:p>
        </w:tc>
        <w:tc>
          <w:tcPr>
            <w:tcW w:type="dxa" w:w="23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Distributed Edge</w:t>
            </w:r>
          </w:p>
        </w:tc>
        <w:tc>
          <w:tcPr>
            <w:tcW w:type="dxa" w:w="538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Local runtime, policy/delegation, P2P discovery, state delta and partition tests.</w:t>
            </w:r>
          </w:p>
        </w:tc>
      </w:tr>
      <w:tr>
        <w:tc>
          <w:tcPr>
            <w:tcW w:type="dxa" w:w="170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10-14 months</w:t>
            </w:r>
          </w:p>
        </w:tc>
        <w:tc>
          <w:tcPr>
            <w:tcW w:type="dxa" w:w="23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Swarm Coordination</w:t>
            </w:r>
          </w:p>
        </w:tc>
        <w:tc>
          <w:tcPr>
            <w:tcW w:type="dxa" w:w="538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Capability exchange, task allocation, topology events, compromised-peer isolation.</w:t>
            </w:r>
          </w:p>
        </w:tc>
      </w:tr>
      <w:tr>
        <w:tc>
          <w:tcPr>
            <w:tcW w:type="dxa" w:w="170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12-20 months</w:t>
            </w:r>
          </w:p>
        </w:tc>
        <w:tc>
          <w:tcPr>
            <w:tcW w:type="dxa" w:w="23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Three vertical pilots</w:t>
            </w:r>
          </w:p>
        </w:tc>
        <w:tc>
          <w:tcPr>
            <w:tcW w:type="dxa" w:w="538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Security/Defence + Manufacturing/Inspection + Logistics or Response.</w:t>
            </w:r>
          </w:p>
        </w:tc>
      </w:tr>
      <w:tr>
        <w:tc>
          <w:tcPr>
            <w:tcW w:type="dxa" w:w="170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18-24 months</w:t>
            </w:r>
          </w:p>
        </w:tc>
        <w:tc>
          <w:tcPr>
            <w:tcW w:type="dxa" w:w="23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D4 candidate</w:t>
            </w:r>
          </w:p>
        </w:tc>
        <w:tc>
          <w:tcPr>
            <w:tcW w:type="dxa" w:w="538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SLO, pen test, safety cases, SBOM, conformance kit, procurement and partner package.</w:t>
            </w:r>
          </w:p>
        </w:tc>
      </w:tr>
      <w:tr>
        <w:tc>
          <w:tcPr>
            <w:tcW w:type="dxa" w:w="170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24-30 months</w:t>
            </w:r>
          </w:p>
        </w:tc>
        <w:tc>
          <w:tcPr>
            <w:tcW w:type="dxa" w:w="2324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Ecosystem launch</w:t>
            </w:r>
          </w:p>
        </w:tc>
        <w:tc>
          <w:tcPr>
            <w:tcW w:type="dxa" w:w="538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SDK, certified adapters, profile marketplace model and partner enablement.</w:t>
            </w:r>
          </w:p>
        </w:tc>
      </w:tr>
    </w:tbl>
    <w:p>
      <w:pPr>
        <w:spacing w:after="20"/>
      </w:pPr>
    </w:p>
    <w:p>
      <w:pPr>
        <w:pStyle w:val="Heading1"/>
      </w:pPr>
      <w:r>
        <w:t>16. Investment Ask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8"/>
        <w:gridCol w:w="9468"/>
      </w:tblGrid>
      <w:tr>
        <w:tc>
          <w:tcPr>
            <w:tcW w:type="dxa" w:w="4933"/>
            <w:shd w:fill="39E6A1"/>
          </w:tcPr>
          <w:p/>
        </w:tc>
        <w:tc>
          <w:tcPr>
            <w:tcW w:type="dxa" w:w="4933"/>
            <w:shd w:fill="F4F8FA"/>
            <w:tcMar>
              <w:top w:w="150" w:type="dxa"/>
              <w:start w:w="180" w:type="dxa"/>
              <w:bottom w:w="150" w:type="dxa"/>
              <w:end w:w="180" w:type="dxa"/>
            </w:tcMar>
          </w:tcPr>
          <w:p>
            <w:r/>
            <w:r>
              <w:rPr>
                <w:rFonts w:ascii="Liberation Mono" w:hAnsi="Liberation Mono"/>
                <w:b/>
                <w:color w:val="39E6A1"/>
                <w:sz w:val="16"/>
              </w:rPr>
              <w:t xml:space="preserve">WORKING ASK  </w:t>
            </w:r>
            <w:r>
              <w:rPr>
                <w:rFonts w:ascii="Liberation Sans" w:hAnsi="Liberation Sans"/>
                <w:color w:val="172431"/>
                <w:sz w:val="18"/>
              </w:rPr>
              <w:t>€6-8M Seed / 24-30 months to build the Universal Core, distributed edge/swarm runtime and three cross-industry field validations.</w:t>
            </w:r>
          </w:p>
        </w:tc>
      </w:tr>
    </w:tbl>
    <w:p>
      <w:pPr>
        <w:spacing w:after="0"/>
      </w:pP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005"/>
        <w:gridCol w:w="1191"/>
        <w:gridCol w:w="5216"/>
      </w:tblGrid>
      <w:tr>
        <w:trPr>
          <w:tblHeader w:val="true"/>
        </w:trPr>
        <w:tc>
          <w:tcPr>
            <w:tcW w:type="dxa" w:w="328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Направление</w:t>
            </w:r>
          </w:p>
        </w:tc>
        <w:tc>
          <w:tcPr>
            <w:tcW w:type="dxa" w:w="328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Доля</w:t>
            </w:r>
          </w:p>
        </w:tc>
        <w:tc>
          <w:tcPr>
            <w:tcW w:type="dxa" w:w="328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Результат</w:t>
            </w:r>
          </w:p>
        </w:tc>
      </w:tr>
      <w:tr>
        <w:tc>
          <w:tcPr>
            <w:tcW w:type="dxa" w:w="300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Universal Core Runtime</w:t>
            </w:r>
          </w:p>
        </w:tc>
        <w:tc>
          <w:tcPr>
            <w:tcW w:type="dxa" w:w="119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30%</w:t>
            </w:r>
          </w:p>
        </w:tc>
        <w:tc>
          <w:tcPr>
            <w:tcW w:type="dxa" w:w="521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Identity, contracts, event/state, policy, execution and evidence.</w:t>
            </w:r>
          </w:p>
        </w:tc>
      </w:tr>
      <w:tr>
        <w:tc>
          <w:tcPr>
            <w:tcW w:type="dxa" w:w="300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Swarm / P2P Edge</w:t>
            </w:r>
          </w:p>
        </w:tc>
        <w:tc>
          <w:tcPr>
            <w:tcW w:type="dxa" w:w="119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20%</w:t>
            </w:r>
          </w:p>
        </w:tc>
        <w:tc>
          <w:tcPr>
            <w:tcW w:type="dxa" w:w="521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Mesh, delegated authority, partition/reconciliation and field hardening.</w:t>
            </w:r>
          </w:p>
        </w:tc>
      </w:tr>
      <w:tr>
        <w:tc>
          <w:tcPr>
            <w:tcW w:type="dxa" w:w="300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SDK &amp; Connectors</w:t>
            </w:r>
          </w:p>
        </w:tc>
        <w:tc>
          <w:tcPr>
            <w:tcW w:type="dxa" w:w="119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15%</w:t>
            </w:r>
          </w:p>
        </w:tc>
        <w:tc>
          <w:tcPr>
            <w:tcW w:type="dxa" w:w="521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Reference adapters, partner SDK, test harness and documentation.</w:t>
            </w:r>
          </w:p>
        </w:tc>
      </w:tr>
      <w:tr>
        <w:tc>
          <w:tcPr>
            <w:tcW w:type="dxa" w:w="300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Industry Pilots</w:t>
            </w:r>
          </w:p>
        </w:tc>
        <w:tc>
          <w:tcPr>
            <w:tcW w:type="dxa" w:w="119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15%</w:t>
            </w:r>
          </w:p>
        </w:tc>
        <w:tc>
          <w:tcPr>
            <w:tcW w:type="dxa" w:w="521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Three vertical pilots with signed KPIs and acceptance evidence.</w:t>
            </w:r>
          </w:p>
        </w:tc>
      </w:tr>
      <w:tr>
        <w:tc>
          <w:tcPr>
            <w:tcW w:type="dxa" w:w="300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Security, Safety &amp; Compliance</w:t>
            </w:r>
          </w:p>
        </w:tc>
        <w:tc>
          <w:tcPr>
            <w:tcW w:type="dxa" w:w="119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12%</w:t>
            </w:r>
          </w:p>
        </w:tc>
        <w:tc>
          <w:tcPr>
            <w:tcW w:type="dxa" w:w="521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Threat model, secure SDLC, pen tests, safety/assurance cases and mappings.</w:t>
            </w:r>
          </w:p>
        </w:tc>
      </w:tr>
      <w:tr>
        <w:tc>
          <w:tcPr>
            <w:tcW w:type="dxa" w:w="3005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IP, GTM &amp; Ecosystem</w:t>
            </w:r>
          </w:p>
        </w:tc>
        <w:tc>
          <w:tcPr>
            <w:tcW w:type="dxa" w:w="1191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8%</w:t>
            </w:r>
          </w:p>
        </w:tc>
        <w:tc>
          <w:tcPr>
            <w:tcW w:type="dxa" w:w="5216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Patents/trademarks, partner program, procurement and standardization.</w:t>
            </w:r>
          </w:p>
        </w:tc>
      </w:tr>
    </w:tbl>
    <w:p>
      <w:pPr>
        <w:spacing w:after="20"/>
      </w:pPr>
    </w:p>
    <w:p>
      <w:pPr>
        <w:pStyle w:val="Heading1"/>
      </w:pPr>
      <w:r>
        <w:t>17. Риски и дисциплина claims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268"/>
        <w:gridCol w:w="3402"/>
        <w:gridCol w:w="3742"/>
      </w:tblGrid>
      <w:tr>
        <w:trPr>
          <w:tblHeader w:val="true"/>
        </w:trPr>
        <w:tc>
          <w:tcPr>
            <w:tcW w:type="dxa" w:w="328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Риск</w:t>
            </w:r>
          </w:p>
        </w:tc>
        <w:tc>
          <w:tcPr>
            <w:tcW w:type="dxa" w:w="328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Проявление</w:t>
            </w:r>
          </w:p>
        </w:tc>
        <w:tc>
          <w:tcPr>
            <w:tcW w:type="dxa" w:w="328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Контроль</w:t>
            </w:r>
          </w:p>
        </w:tc>
      </w:tr>
      <w:tr>
        <w:tc>
          <w:tcPr>
            <w:tcW w:type="dxa" w:w="226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Platform breadth</w:t>
            </w:r>
          </w:p>
        </w:tc>
        <w:tc>
          <w:tcPr>
            <w:tcW w:type="dxa" w:w="340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Слишком широкая категория без конкретного wedge.</w:t>
            </w:r>
          </w:p>
        </w:tc>
        <w:tc>
          <w:tcPr>
            <w:tcW w:type="dxa" w:w="374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Сохранять profile-led GTM и measurable pilot outcomes.</w:t>
            </w:r>
          </w:p>
        </w:tc>
      </w:tr>
      <w:tr>
        <w:tc>
          <w:tcPr>
            <w:tcW w:type="dxa" w:w="226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Safety/regulation</w:t>
            </w:r>
          </w:p>
        </w:tc>
        <w:tc>
          <w:tcPr>
            <w:tcW w:type="dxa" w:w="340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Разные отрасли имеют разные regulatory regimes.</w:t>
            </w:r>
          </w:p>
        </w:tc>
        <w:tc>
          <w:tcPr>
            <w:tcW w:type="dxa" w:w="374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Core + profile-specific assurance, не универсальные обещания сертификации.</w:t>
            </w:r>
          </w:p>
        </w:tc>
      </w:tr>
      <w:tr>
        <w:tc>
          <w:tcPr>
            <w:tcW w:type="dxa" w:w="226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Interoperability</w:t>
            </w:r>
          </w:p>
        </w:tc>
        <w:tc>
          <w:tcPr>
            <w:tcW w:type="dxa" w:w="340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OEMs могут ограничивать доступ или семантику.</w:t>
            </w:r>
          </w:p>
        </w:tc>
        <w:tc>
          <w:tcPr>
            <w:tcW w:type="dxa" w:w="374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Adapter SDK, conformance tests, partner incentives и sandbox.</w:t>
            </w:r>
          </w:p>
        </w:tc>
      </w:tr>
      <w:tr>
        <w:tc>
          <w:tcPr>
            <w:tcW w:type="dxa" w:w="226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Swarm security</w:t>
            </w:r>
          </w:p>
        </w:tc>
        <w:tc>
          <w:tcPr>
            <w:tcW w:type="dxa" w:w="340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P2P повышает attack surface.</w:t>
            </w:r>
          </w:p>
        </w:tc>
        <w:tc>
          <w:tcPr>
            <w:tcW w:type="dxa" w:w="374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Attestation, zero implicit trust, topology audit, quarantine и local safety.</w:t>
            </w:r>
          </w:p>
        </w:tc>
      </w:tr>
      <w:tr>
        <w:tc>
          <w:tcPr>
            <w:tcW w:type="dxa" w:w="226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Evidence privacy</w:t>
            </w:r>
          </w:p>
        </w:tc>
        <w:tc>
          <w:tcPr>
            <w:tcW w:type="dxa" w:w="340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Assurance может конфликтовать с data minimization.</w:t>
            </w:r>
          </w:p>
        </w:tc>
        <w:tc>
          <w:tcPr>
            <w:tcW w:type="dxa" w:w="374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Classification, selective disclosure, retention and privacy-by-design.</w:t>
            </w:r>
          </w:p>
        </w:tc>
      </w:tr>
      <w:tr>
        <w:tc>
          <w:tcPr>
            <w:tcW w:type="dxa" w:w="2268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Market figures</w:t>
            </w:r>
          </w:p>
        </w:tc>
        <w:tc>
          <w:tcPr>
            <w:tcW w:type="dxa" w:w="340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Диапазоны могут быть восприняты как published research.</w:t>
            </w:r>
          </w:p>
        </w:tc>
        <w:tc>
          <w:tcPr>
            <w:tcW w:type="dxa" w:w="374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Явно маркировать management scenario и публиковать assumptions/sensitivity.</w:t>
            </w:r>
          </w:p>
        </w:tc>
      </w:tr>
    </w:tbl>
    <w:p>
      <w:pPr>
        <w:spacing w:after="20"/>
      </w:pPr>
    </w:p>
    <w:p>
      <w:pPr>
        <w:pStyle w:val="Heading1"/>
      </w:pPr>
      <w:r>
        <w:t>18. Источники и рыночные опорные данные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680"/>
        <w:gridCol w:w="4139"/>
        <w:gridCol w:w="4592"/>
      </w:tblGrid>
      <w:tr>
        <w:trPr>
          <w:tblHeader w:val="true"/>
        </w:trPr>
        <w:tc>
          <w:tcPr>
            <w:tcW w:type="dxa" w:w="328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ID</w:t>
            </w:r>
          </w:p>
        </w:tc>
        <w:tc>
          <w:tcPr>
            <w:tcW w:type="dxa" w:w="328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Источник</w:t>
            </w:r>
          </w:p>
        </w:tc>
        <w:tc>
          <w:tcPr>
            <w:tcW w:type="dxa" w:w="328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0C1D2C"/>
          </w:tcPr>
          <w:p>
            <w:pPr>
              <w:spacing w:after="0"/>
            </w:pPr>
            <w:r/>
            <w:r>
              <w:rPr>
                <w:rFonts w:ascii="Liberation Mono" w:hAnsi="Liberation Mono"/>
                <w:b/>
                <w:color w:val="F4F7FA"/>
                <w:sz w:val="14"/>
              </w:rPr>
              <w:t>Использование</w:t>
            </w:r>
          </w:p>
        </w:tc>
      </w:tr>
      <w:tr>
        <w:tc>
          <w:tcPr>
            <w:tcW w:type="dxa" w:w="68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S1</w:t>
            </w:r>
          </w:p>
        </w:tc>
        <w:tc>
          <w:tcPr>
            <w:tcW w:type="dxa" w:w="413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International Federation of Robotics — World Robotics 2025: Industrial Robots</w:t>
            </w:r>
          </w:p>
        </w:tc>
        <w:tc>
          <w:tcPr>
            <w:tcW w:type="dxa" w:w="459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542,000 installations in 2024; 4.664M operational stock.</w:t>
            </w:r>
          </w:p>
        </w:tc>
      </w:tr>
      <w:tr>
        <w:tc>
          <w:tcPr>
            <w:tcW w:type="dxa" w:w="68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S2</w:t>
            </w:r>
          </w:p>
        </w:tc>
        <w:tc>
          <w:tcPr>
            <w:tcW w:type="dxa" w:w="413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International Federation of Robotics — World Robotics 2025: Service Robots</w:t>
            </w:r>
          </w:p>
        </w:tc>
        <w:tc>
          <w:tcPr>
            <w:tcW w:type="dxa" w:w="459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Almost 200,000 professional service robots; 102,900 transport/logistics units in 2024.</w:t>
            </w:r>
          </w:p>
        </w:tc>
      </w:tr>
      <w:tr>
        <w:tc>
          <w:tcPr>
            <w:tcW w:type="dxa" w:w="68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S3</w:t>
            </w:r>
          </w:p>
        </w:tc>
        <w:tc>
          <w:tcPr>
            <w:tcW w:type="dxa" w:w="413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International Federation of Robotics — Service Robots Summary</w:t>
            </w:r>
          </w:p>
        </w:tc>
        <w:tc>
          <w:tcPr>
            <w:tcW w:type="dxa" w:w="459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Approximately 16,700 medical robots sold in 2024.</w:t>
            </w:r>
          </w:p>
        </w:tc>
      </w:tr>
      <w:tr>
        <w:tc>
          <w:tcPr>
            <w:tcW w:type="dxa" w:w="68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S4</w:t>
            </w:r>
          </w:p>
        </w:tc>
        <w:tc>
          <w:tcPr>
            <w:tcW w:type="dxa" w:w="413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European Commission — Robotics</w:t>
            </w:r>
          </w:p>
        </w:tc>
        <w:tc>
          <w:tcPr>
            <w:tcW w:type="dxa" w:w="459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F4F8FA"/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Robotics across manufacturing, health, transport, security, energy and environment.</w:t>
            </w:r>
          </w:p>
        </w:tc>
      </w:tr>
      <w:tr>
        <w:tc>
          <w:tcPr>
            <w:tcW w:type="dxa" w:w="680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S5</w:t>
            </w:r>
          </w:p>
        </w:tc>
        <w:tc>
          <w:tcPr>
            <w:tcW w:type="dxa" w:w="413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European Commission — Connected and Automated Mobility</w:t>
            </w:r>
          </w:p>
        </w:tc>
        <w:tc>
          <w:tcPr>
            <w:tcW w:type="dxa" w:w="4592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spacing w:after="0"/>
            </w:pPr>
            <w:r/>
            <w:r>
              <w:rPr>
                <w:rFonts w:ascii="Liberation Sans" w:hAnsi="Liberation Sans"/>
                <w:b w:val="0"/>
                <w:color w:val="172431"/>
                <w:sz w:val="14"/>
              </w:rPr>
              <w:t>Cybersecurity, liability, data use, privacy and connectivity require coordinated policy and standards.</w:t>
            </w:r>
          </w:p>
        </w:tc>
      </w:tr>
    </w:tbl>
    <w:p>
      <w:pPr>
        <w:spacing w:after="20"/>
      </w:pPr>
    </w:p>
    <w:p>
      <w:pPr>
        <w:keepLines w:val="0"/>
      </w:pPr>
      <w:r>
        <w:rPr>
          <w:i w:val="0"/>
        </w:rPr>
        <w:t>Онлайн-источники:</w:t>
      </w:r>
    </w:p>
    <w:p>
      <w:r>
        <w:t xml:space="preserve">S1 — </w:t>
      </w:r>
      <w:hyperlink r:id="rId11">
        <w:r>
          <w:rPr>
            <w:color w:val="43C7F4"/>
            <w:u w:val="single"/>
          </w:rPr>
          <w:t>International Federation of Robotics — World Robotics 2025: Industrial Robots</w:t>
        </w:r>
      </w:hyperlink>
    </w:p>
    <w:p>
      <w:r>
        <w:t xml:space="preserve">S2 — </w:t>
      </w:r>
      <w:hyperlink r:id="rId12">
        <w:r>
          <w:rPr>
            <w:color w:val="43C7F4"/>
            <w:u w:val="single"/>
          </w:rPr>
          <w:t>International Federation of Robotics — World Robotics 2025: Service Robots</w:t>
        </w:r>
      </w:hyperlink>
    </w:p>
    <w:p>
      <w:r>
        <w:t xml:space="preserve">S3 — </w:t>
      </w:r>
      <w:hyperlink r:id="rId13">
        <w:r>
          <w:rPr>
            <w:color w:val="43C7F4"/>
            <w:u w:val="single"/>
          </w:rPr>
          <w:t>International Federation of Robotics — Service Robots Summary</w:t>
        </w:r>
      </w:hyperlink>
    </w:p>
    <w:p>
      <w:r>
        <w:t xml:space="preserve">S4 — </w:t>
      </w:r>
      <w:hyperlink r:id="rId14">
        <w:r>
          <w:rPr>
            <w:color w:val="43C7F4"/>
            <w:u w:val="single"/>
          </w:rPr>
          <w:t>European Commission — Robotics</w:t>
        </w:r>
      </w:hyperlink>
    </w:p>
    <w:p>
      <w:r>
        <w:t xml:space="preserve">S5 — </w:t>
      </w:r>
      <w:hyperlink r:id="rId15">
        <w:r>
          <w:rPr>
            <w:color w:val="43C7F4"/>
            <w:u w:val="single"/>
          </w:rPr>
          <w:t>European Commission — Connected and Automated Mobility</w:t>
        </w:r>
      </w:hyperlink>
    </w:p>
    <w:p>
      <w:pPr>
        <w:keepLines w:val="0"/>
      </w:pPr>
      <w:r>
        <w:rPr>
          <w:i w:val="0"/>
        </w:rPr>
        <w:t>TAM/SAM/SOM в настоящем документе являются управленческой моделью и требуют отдельного bottom-up dataset, pricing research и независимой валидации перед публичным использованием.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964" w:right="1020" w:bottom="907" w:left="1020" w:header="397" w:footer="397" w:gutter="0"/>
      <w:cols w:space="720"/>
      <w:docGrid w:linePitch="360"/>
      <w:pgBorders w:offsetFrom="page">
        <w:top w:val="single" w:sz="8" w:space="20" w:color="D8E3EA"/>
        <w:left w:val="single" w:sz="8" w:space="20" w:color="D8E3EA"/>
        <w:bottom w:val="single" w:sz="8" w:space="20" w:color="D8E3EA"/>
        <w:right w:val="single" w:sz="8" w:space="20" w:color="D8E3EA"/>
      </w:pgBorder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Liberation Mono" w:hAnsi="Liberation Mono"/>
        <w:color w:val="526374"/>
        <w:sz w:val="14"/>
      </w:rPr>
      <w:t xml:space="preserve">A³O  | 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A3OKicker"/>
      <w:jc w:val="right"/>
    </w:pPr>
    <w:r>
      <w:t>A³O WHITEPAPER R1.0 CANDIDATE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259" w:lineRule="auto"/>
    </w:pPr>
    <w:rPr>
      <w:rFonts w:ascii="Liberation Sans" w:hAnsi="Liberation Sans"/>
      <w:color w:val="172431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60" w:after="120"/>
      <w:outlineLvl w:val="0"/>
    </w:pPr>
    <w:rPr>
      <w:rFonts w:asciiTheme="majorHAnsi" w:eastAsiaTheme="majorEastAsia" w:hAnsiTheme="majorHAnsi" w:cstheme="majorBidi" w:ascii="Liberation Sans" w:hAnsi="Liberation Sans"/>
      <w:b/>
      <w:bCs/>
      <w:color w:val="07131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Liberation Sans" w:hAnsi="Liberation Sans"/>
      <w:b/>
      <w:bCs/>
      <w:color w:val="0C1D2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40" w:after="60"/>
      <w:outlineLvl w:val="2"/>
    </w:pPr>
    <w:rPr>
      <w:rFonts w:asciiTheme="majorHAnsi" w:eastAsiaTheme="majorEastAsia" w:hAnsiTheme="majorHAnsi" w:cstheme="majorBidi" w:ascii="Liberation Sans" w:hAnsi="Liberation Sans"/>
      <w:b/>
      <w:bCs/>
      <w:color w:val="43C7F4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160" w:line="240" w:lineRule="auto" w:before="0"/>
      <w:contextualSpacing/>
    </w:pPr>
    <w:rPr>
      <w:rFonts w:asciiTheme="majorHAnsi" w:eastAsiaTheme="majorEastAsia" w:hAnsiTheme="majorHAnsi" w:cstheme="majorBidi" w:ascii="Liberation Sans" w:hAnsi="Liberation Sans"/>
      <w:b/>
      <w:color w:val="07131F"/>
      <w:spacing w:val="5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/>
      <w:numPr>
        <w:ilvl w:val="1"/>
      </w:numPr>
      <w:spacing w:before="0" w:after="240"/>
    </w:pPr>
    <w:rPr>
      <w:rFonts w:asciiTheme="majorHAnsi" w:eastAsiaTheme="majorEastAsia" w:hAnsiTheme="majorHAnsi" w:cstheme="majorBidi" w:ascii="Liberation Sans" w:hAnsi="Liberation Sans"/>
      <w:b w:val="0"/>
      <w:i/>
      <w:iCs/>
      <w:color w:val="526374"/>
      <w:spacing w:val="15"/>
      <w:sz w:val="2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3OKicker">
    <w:name w:val="A3O Kicker"/>
    <w:pPr>
      <w:keepNext/>
      <w:spacing w:after="120"/>
    </w:pPr>
    <w:rPr>
      <w:rFonts w:ascii="Liberation Mono" w:hAnsi="Liberation Mono"/>
      <w:b/>
      <w:color w:val="43C7F4"/>
      <w:sz w:val="15"/>
    </w:rPr>
  </w:style>
  <w:style w:type="paragraph" w:customStyle="1" w:styleId="A3OCallout">
    <w:name w:val="A3O Callout"/>
    <w:pPr>
      <w:spacing w:before="120" w:after="120" w:line="264" w:lineRule="auto"/>
      <w:ind w:left="227" w:right="227"/>
    </w:pPr>
    <w:rPr>
      <w:rFonts w:ascii="Liberation Sans" w:hAnsi="Liberation Sans"/>
      <w:b/>
      <w:color w:val="07131F"/>
      <w:sz w:val="20"/>
    </w:rPr>
  </w:style>
  <w:style w:type="paragraph" w:customStyle="1" w:styleId="A3OCode">
    <w:name w:val="A3O Code"/>
    <w:pPr>
      <w:spacing w:after="40"/>
      <w:ind w:left="227"/>
    </w:pPr>
    <w:rPr>
      <w:rFonts w:ascii="Liberation Mono" w:hAnsi="Liberation Mono"/>
      <w:color w:val="0C1D2C"/>
      <w:sz w:val="15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yperlink" Target="https://ifr.org/news/global-robot-demand-in-factories-doubles-over-10-years/1st-quarterly-newsletter-2015" TargetMode="External"/><Relationship Id="rId12" Type="http://schemas.openxmlformats.org/officeDocument/2006/relationships/hyperlink" Target="https://ifr.org/news/service-robots-see-global-growth-boom/1st-" TargetMode="External"/><Relationship Id="rId13" Type="http://schemas.openxmlformats.org/officeDocument/2006/relationships/hyperlink" Target="https://ifr.org/P40" TargetMode="External"/><Relationship Id="rId14" Type="http://schemas.openxmlformats.org/officeDocument/2006/relationships/hyperlink" Target="https://digital-strategy.ec.europa.eu/en/policies/robotics" TargetMode="External"/><Relationship Id="rId15" Type="http://schemas.openxmlformats.org/officeDocument/2006/relationships/hyperlink" Target="https://digital-strategy.ec.europa.eu/en/policies/connected-and-automated-mob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A³O WHITEPAPER R1.0 CANDIDATE</dc:title>
  <dc:subject>A³O Universal Trusted Framework for Autonomous Ecosystems</dc:subject>
  <dc:creator>A³O CTO Office</dc:creator>
  <cp:keywords>A3O, autonomy, robotics, swarm, edge, trust, governance, evidence</cp:keywords>
  <dc:description>Confidential working draft. R1.0 Candidate.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